
<file path=[Content_Types].xml><?xml version="1.0" encoding="utf-8"?>
<Types xmlns="http://schemas.openxmlformats.org/package/2006/content-types">
  <Default Extension="xml" ContentType="application/xml"/>
  <Default Extension="rels" ContentType="application/vnd.openxmlformats-package.relationships+xml"/>
  <Override PartName="/word/numbering.xml" ContentType="application/vnd.openxmlformats-officedocument.wordprocessingml.numbering+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theme/theme1.xml" ContentType="application/vnd.openxmlformats-officedocument.theme+xml"/>
  <Override PartName="/word/comments.xml" ContentType="application/vnd.openxmlformats-officedocument.wordprocessingml.comments+xml"/>
  <Override PartName="/word/endnotes.xml" ContentType="application/vnd.openxmlformats-officedocument.wordprocessingml.endnotes+xml"/>
  <Override PartName="/word/styles.xml" ContentType="application/vnd.openxmlformats-officedocument.wordprocessingml.styles+xml"/>
  <Override PartName="/word/footnotes.xml" ContentType="application/vnd.openxmlformats-officedocument.wordprocessingml.footnote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mc:Ignorable="w14 wp14 ">
  <w:body>
    <w:p w14:paraId="00000007">
      <w:pPr>
        <w:jc w:val="center"/>
        <w:rPr>
          <w:b/>
          <w:sz w:val="22"/>
          <w:szCs w:val="22"/>
        </w:rPr>
      </w:pPr>
      <w:r>
        <w:rPr>
          <w:b/>
          <w:sz w:val="22"/>
          <w:szCs w:val="22"/>
        </w:rPr>
        <w:t>SÖZLEŞME VE ÖZEL KOŞULLAR</w:t>
      </w:r>
    </w:p>
    <w:p w14:paraId="00000008">
      <w:pPr>
        <w:rPr>
          <w:sz w:val="22"/>
          <w:szCs w:val="22"/>
        </w:rPr>
      </w:pPr>
      <w:r>
        <w:rPr>
          <w:sz w:val="22"/>
          <w:szCs w:val="22"/>
        </w:rPr>
        <mc:AlternateContent>
          <mc:Choice Requires="wps">
            <w:drawing xmlns:mc="http://schemas.openxmlformats.org/markup-compatibility/2006">
              <wp:inline distT="0" distB="0" distL="0" distR="0">
                <wp:extent cx="5864225" cy="619125"/>
                <wp:effectExtent l="0" t="0" r="9526" b="9526"/>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Pr id="4" name="Text Box 4"/>
                      <wps:cNvSpPr txBox="1">
                        <a:spLocks noChangeArrowheads="1"/>
                      </wps:cNvSpPr>
                      <wps:spPr>
                        <a:xfrm>
                          <a:off x="0" y="0"/>
                          <a:ext cx="5864225" cy="619125"/>
                        </a:xfrm>
                        <a:prstGeom prst="rect">
                          <a:avLst/>
                        </a:prstGeom>
                        <a:solidFill>
                          <a:srgbClr val="C0C0C0"/>
                        </a:solidFill>
                        <a:ln w="9525">
                          <a:solidFill>
                            <a:srgbClr val="000000"/>
                          </a:solidFill>
                          <a:miter lim="800000"/>
                        </a:ln>
                      </wps:spPr>
                      <wps:txbx id="0">
                        <w:txbxContent>
                          <w:p w14:paraId="00000009">
                            <w:pPr>
                              <w:rPr>
                                <w:sz w:val="18"/>
                                <w:szCs w:val="18"/>
                              </w:rPr>
                            </w:pPr>
                            <w:r>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upright="1">
                        <a:noAutofit/>
                      </wps:bodyPr>
                    </wps:wsp>
                  </a:graphicData>
                </a:graphic>
              </wp:inline>
            </w:drawing>
          </mc:Choice>
          <mc:Fallback>
            <w:pict>
              <v:shape id="B41CB25C-75DE-5DCD-40FB5E25CF45" coordsize="21600,21600" style="width:461.75pt;height:48.75pt;margin-top:0pt;margin-left:0pt;mso-wrap-distance-left:0pt;mso-wrap-distance-right:0pt;mso-wrap-distance-top:0pt;mso-wrap-distance-bottom:0pt;mso-position-horizontal-relative:margin;mso-position-vertical-relative:margin;rotation:0.000000;z-index:0;" fillcolor="#c0c0c0" strokecolor="#000000" strokeweight="0.75pt" o:spt="1" path="m0,0 l0,21600 r21600,0 l21600,0 x e">
                <v:stroke color="#000000" filltype="solid" joinstyle="miter" linestyle="single" mitterlimit="800000" weight="0.75pt"/>
                <w10:wrap type="none" side="both"/>
                <v:fill type="solid" color="#c0c0c0" opacity="1.000000"/>
                <o:lock/>
              </v:shape>
            </w:pict>
          </mc:Fallback>
        </mc:AlternateContent>
      </w:r>
    </w:p>
    <w:p w14:paraId="0000000A">
      <w:pPr>
        <w:spacing w:beforeAutospacing="0" w:after="120" w:afterAutospacing="0"/>
        <w:jc w:val="center"/>
        <w:rPr>
          <w:b/>
          <w:sz w:val="22"/>
          <w:szCs w:val="22"/>
        </w:rPr>
      </w:pPr>
      <w:r>
        <w:rPr>
          <w:b/>
          <w:sz w:val="22"/>
          <w:szCs w:val="22"/>
        </w:rPr>
        <w:t>MAL ALIMI İŞİ SÖZLEŞMESİ</w:t>
      </w:r>
    </w:p>
    <w:p w14:paraId="0000000B">
      <w:pPr>
        <w:rPr>
          <w:color w:val="000000"/>
          <w:sz w:val="22"/>
          <w:szCs w:val="22"/>
        </w:rPr>
      </w:pPr>
      <w:r>
        <w:rPr>
          <w:color w:val="000000"/>
          <w:sz w:val="22"/>
          <w:szCs w:val="22"/>
        </w:rPr>
        <w:t xml:space="preserve">Bir tarafta </w:t>
      </w:r>
    </w:p>
    <w:p w14:paraId="0000000C">
      <w:pPr>
        <w:ind w:firstLine="708"/>
        <w:rPr>
          <w:b/>
          <w:bCs/>
          <w:sz w:val="22"/>
          <w:szCs w:val="22"/>
        </w:rPr>
      </w:pPr>
      <w:r>
        <w:rPr>
          <w:b/>
          <w:bCs/>
          <w:sz w:val="22"/>
          <w:szCs w:val="22"/>
        </w:rPr>
        <w:t xml:space="preserve">Cihat Hatipoğlu Tarım Hayvancılık Gıda </w:t>
      </w:r>
      <w:r>
        <w:rPr>
          <w:b/>
          <w:bCs/>
          <w:sz w:val="22"/>
          <w:szCs w:val="22"/>
        </w:rPr>
        <w:t>Nakliyat  Sanayi</w:t>
      </w:r>
      <w:r>
        <w:rPr>
          <w:b/>
          <w:bCs/>
          <w:sz w:val="22"/>
          <w:szCs w:val="22"/>
        </w:rPr>
        <w:t xml:space="preserve"> Ve Ticaret Limited Şirketi</w:t>
      </w:r>
    </w:p>
    <w:p w14:paraId="0000000D">
      <w:pPr>
        <w:rPr>
          <w:color w:val="000000"/>
          <w:sz w:val="22"/>
          <w:szCs w:val="22"/>
        </w:rPr>
      </w:pPr>
    </w:p>
    <w:p w14:paraId="0000000E">
      <w:pPr>
        <w:rPr>
          <w:color w:val="000000"/>
          <w:sz w:val="22"/>
          <w:szCs w:val="22"/>
        </w:rPr>
      </w:pPr>
      <w:r>
        <w:rPr>
          <w:color w:val="000000"/>
          <w:sz w:val="22"/>
          <w:szCs w:val="22"/>
        </w:rPr>
        <w:t>("Sözleşme Makamı"), ve</w:t>
      </w:r>
    </w:p>
    <w:p w14:paraId="0000000F">
      <w:pPr>
        <w:rPr>
          <w:color w:val="000000"/>
          <w:sz w:val="22"/>
          <w:szCs w:val="22"/>
        </w:rPr>
      </w:pPr>
      <w:r>
        <w:rPr>
          <w:color w:val="000000"/>
          <w:sz w:val="22"/>
          <w:szCs w:val="22"/>
        </w:rPr>
        <w:t>Diğer tarafta</w:t>
      </w:r>
    </w:p>
    <w:p w14:paraId="00000010">
      <w:pPr>
        <w:rPr>
          <w:color w:val="000000"/>
          <w:sz w:val="22"/>
          <w:szCs w:val="22"/>
        </w:rPr>
      </w:pPr>
      <w:r>
        <w:rPr>
          <w:color w:val="000000"/>
          <w:sz w:val="22"/>
          <w:szCs w:val="22"/>
        </w:rPr>
        <w:sym w:font="Symbol" w:char="f03c"/>
      </w:r>
      <w:r>
        <w:rPr>
          <w:sz w:val="22"/>
          <w:szCs w:val="22"/>
        </w:rPr>
        <w:t xml:space="preserve"> </w:t>
      </w:r>
      <w:r>
        <w:rPr>
          <w:color w:val="000000"/>
          <w:sz w:val="22"/>
          <w:szCs w:val="22"/>
          <w:highlight w:val="lightGray"/>
        </w:rPr>
        <w:t>Tedarikçinin/Hizmet Sunucusunun/Yapım Müteahhidinin Tam Resmi Adı</w:t>
      </w:r>
      <w:r>
        <w:rPr>
          <w:color w:val="000000"/>
          <w:sz w:val="22"/>
          <w:szCs w:val="22"/>
        </w:rPr>
        <w:t xml:space="preserve"> </w:t>
      </w:r>
      <w:r>
        <w:rPr>
          <w:color w:val="000000"/>
          <w:sz w:val="22"/>
          <w:szCs w:val="22"/>
        </w:rPr>
        <w:sym w:font="Symbol" w:char="f03e"/>
      </w:r>
      <w:r>
        <w:rPr>
          <w:color w:val="000000"/>
          <w:sz w:val="22"/>
          <w:szCs w:val="22"/>
        </w:rPr>
        <w:t xml:space="preserve">  </w:t>
      </w:r>
    </w:p>
    <w:p w14:paraId="00000011">
      <w:pPr>
        <w:rPr>
          <w:color w:val="000000"/>
          <w:sz w:val="22"/>
          <w:szCs w:val="22"/>
        </w:rPr>
      </w:pPr>
      <w:r>
        <w:rPr>
          <w:color w:val="000000"/>
          <w:sz w:val="22"/>
          <w:szCs w:val="22"/>
        </w:rPr>
        <w:sym w:font="Symbol" w:char="f03c"/>
      </w:r>
      <w:r>
        <w:rPr>
          <w:sz w:val="22"/>
          <w:szCs w:val="22"/>
        </w:rPr>
        <w:t xml:space="preserve"> </w:t>
      </w:r>
      <w:r>
        <w:rPr>
          <w:color w:val="000000"/>
          <w:sz w:val="22"/>
          <w:szCs w:val="22"/>
        </w:rPr>
        <w:t xml:space="preserve">Hukuki statüsü / unvanı </w:t>
      </w:r>
      <w:r>
        <w:rPr>
          <w:color w:val="000000"/>
          <w:sz w:val="22"/>
          <w:szCs w:val="22"/>
        </w:rPr>
        <w:sym w:font="Symbol" w:char="f03e"/>
      </w:r>
      <w:r>
        <w:rPr>
          <w:color w:val="000000"/>
          <w:sz w:val="22"/>
          <w:szCs w:val="22"/>
        </w:rPr>
        <w:t xml:space="preserve"> </w:t>
      </w:r>
      <w:r>
        <w:rPr>
          <w:rStyle w:val="Footnotereference"/>
          <w:color w:val="000000"/>
          <w:sz w:val="22"/>
          <w:szCs w:val="22"/>
        </w:rPr>
        <w:footnoteReference w:id="2"/>
      </w:r>
    </w:p>
    <w:p w14:paraId="00000012">
      <w:pPr>
        <w:rPr>
          <w:color w:val="000000"/>
          <w:sz w:val="22"/>
          <w:szCs w:val="22"/>
        </w:rPr>
      </w:pPr>
      <w:r>
        <w:rPr>
          <w:color w:val="000000"/>
          <w:sz w:val="22"/>
          <w:szCs w:val="22"/>
        </w:rPr>
        <w:t>&lt; Resmi tescil numarası &gt;</w:t>
      </w:r>
      <w:r>
        <w:rPr>
          <w:rStyle w:val="Footnotereference"/>
          <w:color w:val="000000"/>
          <w:sz w:val="22"/>
          <w:szCs w:val="22"/>
        </w:rPr>
        <w:footnoteReference w:id="3"/>
      </w:r>
    </w:p>
    <w:p w14:paraId="00000013">
      <w:pPr>
        <w:pStyle w:val="Footnotetext"/>
        <w:rPr>
          <w:color w:val="000000"/>
          <w:sz w:val="22"/>
          <w:szCs w:val="22"/>
        </w:rPr>
      </w:pPr>
      <w:r>
        <w:rPr>
          <w:color w:val="000000"/>
          <w:sz w:val="22"/>
          <w:szCs w:val="22"/>
        </w:rPr>
        <w:t>&lt;Açık resmi-tebligat adresi&gt;</w:t>
      </w:r>
    </w:p>
    <w:p w14:paraId="00000014">
      <w:pPr>
        <w:rPr>
          <w:color w:val="000000"/>
          <w:sz w:val="22"/>
          <w:szCs w:val="22"/>
        </w:rPr>
      </w:pPr>
      <w:r>
        <w:rPr>
          <w:color w:val="000000"/>
          <w:sz w:val="22"/>
          <w:szCs w:val="22"/>
        </w:rPr>
        <w:t xml:space="preserve">&lt;Vergi dairesi ve numarası&gt;,  </w:t>
      </w:r>
    </w:p>
    <w:p w14:paraId="00000015">
      <w:pPr>
        <w:rPr>
          <w:color w:val="000000"/>
          <w:sz w:val="22"/>
          <w:szCs w:val="22"/>
        </w:rPr>
      </w:pPr>
      <w:r>
        <w:rPr>
          <w:color w:val="000000"/>
          <w:sz w:val="22"/>
          <w:szCs w:val="22"/>
        </w:rPr>
        <w:t xml:space="preserve">(“Yüklenici”) olmak üzere,  taraflar aşağıdaki hususlarda anlaşmışlardır: </w:t>
      </w:r>
    </w:p>
    <w:p w14:paraId="00000016">
      <w:pPr>
        <w:jc w:val="center"/>
        <w:rPr>
          <w:b/>
          <w:sz w:val="22"/>
          <w:szCs w:val="22"/>
        </w:rPr>
      </w:pPr>
    </w:p>
    <w:p w14:paraId="00000017">
      <w:pPr>
        <w:jc w:val="center"/>
        <w:rPr>
          <w:b/>
          <w:sz w:val="22"/>
          <w:szCs w:val="22"/>
        </w:rPr>
      </w:pPr>
      <w:r>
        <w:rPr>
          <w:b/>
          <w:sz w:val="22"/>
          <w:szCs w:val="22"/>
        </w:rPr>
        <w:t>ÖZEL KOŞULLAR</w:t>
      </w:r>
    </w:p>
    <w:p w14:paraId="00000018">
      <w:pPr>
        <w:pStyle w:val="ListNumber"/>
        <w:spacing w:beforeAutospacing="0" w:after="120" w:afterAutospacing="0"/>
        <w:rPr>
          <w:b/>
          <w:color w:val="000000"/>
          <w:sz w:val="22"/>
          <w:szCs w:val="22"/>
          <w:lang w:val="tr-TR"/>
        </w:rPr>
      </w:pPr>
      <w:r>
        <w:rPr>
          <w:b/>
          <w:color w:val="000000"/>
          <w:sz w:val="22"/>
          <w:szCs w:val="22"/>
          <w:lang w:val="tr-TR"/>
        </w:rPr>
        <w:t xml:space="preserve"> Konu</w:t>
      </w:r>
    </w:p>
    <w:p w14:paraId="00000019">
      <w:pPr>
        <w:spacing w:beforeAutospacing="0" w:after="120" w:afterAutospacing="0"/>
        <w:rPr>
          <w:color w:val="000000"/>
          <w:sz w:val="22"/>
          <w:szCs w:val="22"/>
        </w:rPr>
      </w:pPr>
      <w:r>
        <w:rPr>
          <w:color w:val="000000"/>
          <w:sz w:val="22"/>
          <w:szCs w:val="22"/>
        </w:rPr>
        <w:t xml:space="preserve">Bu Sözleşmenin Konusu ŞANLIURFA/SİVEREK  ‘da uygulanacak </w:t>
      </w:r>
      <w:r>
        <w:rPr>
          <w:b/>
          <w:bCs/>
          <w:sz w:val="22"/>
          <w:szCs w:val="22"/>
        </w:rPr>
        <w:t xml:space="preserve">BAKLİYAT İMALATTA BİTKİSEL PROTEİNİN EKONOMİK DÖNGÜSÜNDE ÇİFTLİK HAYVANLARINA KATKISI BAŞLIKLI PROJEYE İLİŞKİN DESTEK </w:t>
      </w:r>
      <w:r>
        <w:rPr>
          <w:b/>
          <w:bCs/>
          <w:sz w:val="22"/>
          <w:szCs w:val="22"/>
        </w:rPr>
        <w:t>SÖZLEŞMES</w:t>
      </w:r>
      <w:r>
        <w:rPr>
          <w:sz w:val="22"/>
          <w:szCs w:val="22"/>
        </w:rPr>
        <w:t xml:space="preserve">İ </w:t>
      </w:r>
      <w:r>
        <w:rPr>
          <w:color w:val="000000"/>
          <w:sz w:val="22"/>
          <w:szCs w:val="22"/>
        </w:rPr>
        <w:t xml:space="preserve"> </w:t>
      </w:r>
      <w:r>
        <w:rPr>
          <w:color w:val="000000"/>
          <w:sz w:val="22"/>
          <w:szCs w:val="22"/>
        </w:rPr>
        <w:t>dır</w:t>
      </w:r>
      <w:r>
        <w:rPr>
          <w:color w:val="000000"/>
          <w:sz w:val="22"/>
          <w:szCs w:val="22"/>
        </w:rPr>
        <w:t xml:space="preserve">. </w:t>
      </w:r>
    </w:p>
    <w:p w14:paraId="0000001A">
      <w:pPr>
        <w:pStyle w:val="ListNumber"/>
        <w:spacing w:beforeAutospacing="0" w:after="120" w:afterAutospacing="0"/>
        <w:rPr>
          <w:b/>
          <w:color w:val="000000"/>
          <w:sz w:val="22"/>
          <w:szCs w:val="22"/>
          <w:lang w:val="tr-TR"/>
        </w:rPr>
      </w:pPr>
      <w:r>
        <w:rPr>
          <w:b/>
          <w:color w:val="000000"/>
          <w:sz w:val="22"/>
          <w:szCs w:val="22"/>
          <w:lang w:val="tr-TR"/>
        </w:rPr>
        <w:t>Sözleşmenin Yapısı</w:t>
      </w:r>
    </w:p>
    <w:p w14:paraId="0000001B">
      <w:pPr>
        <w:spacing w:beforeAutospacing="0" w:after="120" w:afterAutospacing="0"/>
        <w:rPr>
          <w:color w:val="000000"/>
          <w:sz w:val="22"/>
          <w:szCs w:val="22"/>
        </w:rPr>
      </w:pPr>
      <w:r>
        <w:rPr>
          <w:color w:val="000000"/>
          <w:sz w:val="22"/>
          <w:szCs w:val="22"/>
        </w:rPr>
        <w:t>Yüklenici, bu ihalede belirlenmiş olan ve öncelik sırasına göre, Özel Koşullar (“Özel Koşullar”) ve aşağıdaki Eklerde belirtilen koşullardan oluşan şartların,  gereğine uygun olarak faaliyetlerini sürdürecektir:</w:t>
      </w:r>
    </w:p>
    <w:p w14:paraId="0000001C">
      <w:pPr>
        <w:spacing w:beforeAutospacing="0" w:after="120" w:afterAutospacing="0"/>
        <w:rPr>
          <w:color w:val="000000"/>
          <w:sz w:val="22"/>
          <w:szCs w:val="22"/>
        </w:rPr>
      </w:pPr>
      <w:r>
        <w:rPr>
          <w:color w:val="000000"/>
          <w:sz w:val="22"/>
          <w:szCs w:val="22"/>
        </w:rPr>
        <w:t>Ek-1: Genel Koşullar</w:t>
      </w:r>
    </w:p>
    <w:p w14:paraId="0000001D">
      <w:pPr>
        <w:spacing w:beforeAutospacing="0" w:after="120" w:afterAutospacing="0"/>
        <w:rPr>
          <w:color w:val="000000"/>
          <w:sz w:val="22"/>
          <w:szCs w:val="22"/>
        </w:rPr>
      </w:pPr>
      <w:r>
        <w:rPr>
          <w:color w:val="000000"/>
          <w:sz w:val="22"/>
          <w:szCs w:val="22"/>
        </w:rPr>
        <w:t>Ek-2: Teknik Şartname (İş Tanımı)</w:t>
      </w:r>
    </w:p>
    <w:p w14:paraId="0000001E">
      <w:pPr>
        <w:spacing w:beforeAutospacing="0" w:after="120" w:afterAutospacing="0"/>
        <w:rPr>
          <w:color w:val="000000"/>
          <w:sz w:val="22"/>
          <w:szCs w:val="22"/>
        </w:rPr>
      </w:pPr>
      <w:r>
        <w:rPr>
          <w:color w:val="000000"/>
          <w:sz w:val="22"/>
          <w:szCs w:val="22"/>
        </w:rPr>
        <w:t xml:space="preserve">Ek-3: Teknik Teklif  </w:t>
      </w:r>
    </w:p>
    <w:p w14:paraId="0000001F">
      <w:pPr>
        <w:spacing w:beforeAutospacing="0" w:after="120" w:afterAutospacing="0"/>
        <w:rPr>
          <w:color w:val="000000"/>
          <w:sz w:val="22"/>
          <w:szCs w:val="22"/>
        </w:rPr>
      </w:pPr>
      <w:r>
        <w:rPr>
          <w:color w:val="000000"/>
          <w:sz w:val="22"/>
          <w:szCs w:val="22"/>
        </w:rPr>
        <w:t>Ek-4: Mali Teklif (Bütçe Dökümü)</w:t>
      </w:r>
    </w:p>
    <w:p w14:paraId="00000020">
      <w:pPr>
        <w:spacing w:beforeAutospacing="0" w:after="120" w:afterAutospacing="0"/>
        <w:rPr>
          <w:color w:val="000000"/>
          <w:sz w:val="22"/>
          <w:szCs w:val="22"/>
        </w:rPr>
      </w:pPr>
      <w:r>
        <w:rPr>
          <w:color w:val="000000"/>
          <w:sz w:val="22"/>
          <w:szCs w:val="22"/>
        </w:rPr>
        <w:t>Ek-5: Standart Formlar ve Diğer Gerekli Belgeler</w:t>
      </w:r>
    </w:p>
    <w:p w14:paraId="00000021">
      <w:pPr>
        <w:rPr>
          <w:color w:val="000000"/>
          <w:sz w:val="22"/>
          <w:szCs w:val="22"/>
          <w:u w:val="single"/>
        </w:rPr>
      </w:pPr>
    </w:p>
    <w:p w14:paraId="00000022">
      <w:pPr>
        <w:rPr>
          <w:color w:val="000000"/>
          <w:sz w:val="22"/>
          <w:szCs w:val="22"/>
          <w:u w:val="single"/>
        </w:rPr>
      </w:pPr>
      <w:r>
        <w:rPr>
          <w:color w:val="000000"/>
          <w:sz w:val="22"/>
          <w:szCs w:val="22"/>
        </w:rPr>
        <w:t xml:space="preserve">Yukarıdaki belgeler arasında herhangi bir çelişki olması durumunda, bunların hükümleri, yukarıda belirtilen öncelik sırasına göre uygulanır. </w:t>
      </w:r>
    </w:p>
    <w:p w14:paraId="00000023">
      <w:pPr>
        <w:pStyle w:val="ListNumber"/>
        <w:spacing w:beforeAutospacing="0" w:after="120" w:afterAutospacing="0"/>
        <w:rPr>
          <w:b/>
          <w:color w:val="000000"/>
          <w:sz w:val="22"/>
          <w:szCs w:val="22"/>
          <w:lang w:val="tr-TR"/>
        </w:rPr>
      </w:pPr>
      <w:r>
        <w:rPr>
          <w:b/>
          <w:color w:val="000000"/>
          <w:sz w:val="22"/>
          <w:szCs w:val="22"/>
          <w:lang w:val="tr-TR"/>
        </w:rPr>
        <w:t>Sözleşme bedeli ve Ödemeler</w:t>
      </w:r>
    </w:p>
    <w:p w14:paraId="00000024">
      <w:pPr>
        <w:pStyle w:val="ListNumber"/>
        <w:numPr>
          <w:ilvl w:val="0"/>
          <w:numId w:val="0"/>
        </w:numPr>
        <w:spacing w:beforeAutospacing="0" w:after="120" w:afterAutospacing="0"/>
        <w:rPr>
          <w:color w:val="000000"/>
          <w:sz w:val="22"/>
          <w:szCs w:val="22"/>
          <w:lang w:val="tr-TR"/>
        </w:rPr>
      </w:pPr>
      <w:r>
        <w:rPr>
          <w:color w:val="000000"/>
          <w:sz w:val="22"/>
          <w:szCs w:val="22"/>
          <w:lang w:val="tr-TR"/>
        </w:rPr>
        <w:t>Sözleşme Bedeli</w:t>
      </w:r>
      <w:r>
        <w:rPr>
          <w:color w:val="000000"/>
          <w:sz w:val="22"/>
          <w:szCs w:val="22"/>
          <w:lang w:val="tr-TR"/>
        </w:rPr>
        <w:tab/>
        <w:t xml:space="preserve">:  ................ TL ‘dir. </w:t>
      </w:r>
      <w:r>
        <w:rPr>
          <w:color w:val="000000"/>
          <w:sz w:val="22"/>
          <w:szCs w:val="22"/>
          <w:lang w:val="tr-TR"/>
        </w:rPr>
        <w:t xml:space="preserve"> (kdv hariç) </w:t>
      </w:r>
    </w:p>
    <w:p w14:paraId="00000025">
      <w:pPr>
        <w:pStyle w:val="Text1"/>
        <w:tabs>
          <w:tab w:val="decimal" w:pos="7938"/>
        </w:tabs>
        <w:spacing w:beforeAutospacing="0" w:after="0" w:afterAutospacing="0"/>
        <w:ind w:left="0"/>
        <w:rPr>
          <w:color w:val="000000"/>
          <w:sz w:val="22"/>
          <w:szCs w:val="22"/>
          <w:lang w:val="tr-TR"/>
        </w:rPr>
      </w:pPr>
      <w:r>
        <w:rPr>
          <w:color w:val="000000"/>
          <w:sz w:val="22"/>
          <w:szCs w:val="22"/>
          <w:lang w:val="tr-TR"/>
        </w:rPr>
        <w:t xml:space="preserve">Sözleşme kapsamında ön ödeme yapılmayacaktır. </w:t>
      </w:r>
    </w:p>
    <w:p w14:paraId="00000026">
      <w:pPr>
        <w:pStyle w:val="Text1"/>
        <w:tabs>
          <w:tab w:val="decimal" w:pos="7938"/>
        </w:tabs>
        <w:spacing w:beforeAutospacing="0" w:after="0" w:afterAutospacing="0"/>
        <w:ind w:left="0"/>
        <w:rPr>
          <w:color w:val="000000"/>
          <w:sz w:val="22"/>
          <w:szCs w:val="22"/>
          <w:lang w:val="tr-TR"/>
        </w:rPr>
      </w:pPr>
    </w:p>
    <w:p w14:paraId="00000027">
      <w:pPr>
        <w:rPr>
          <w:b/>
          <w:bCs/>
          <w:iCs/>
          <w:sz w:val="22"/>
          <w:szCs w:val="22"/>
        </w:rPr>
      </w:pPr>
      <w:r>
        <w:rPr>
          <w:b/>
          <w:bCs/>
          <w:iCs/>
          <w:sz w:val="22"/>
          <w:szCs w:val="22"/>
        </w:rPr>
        <w:t xml:space="preserve">Mal alımı sözleşmelerinde: ödemeler, sözleşme konusu malın teslimini takiben yapılacaktır. </w:t>
      </w:r>
    </w:p>
    <w:p w14:paraId="00000028">
      <w:pPr>
        <w:rPr>
          <w:b/>
          <w:color w:val="000000"/>
          <w:sz w:val="22"/>
          <w:szCs w:val="22"/>
        </w:rPr>
      </w:pPr>
      <w:r>
        <w:rPr>
          <w:b/>
          <w:color w:val="000000"/>
          <w:sz w:val="22"/>
          <w:szCs w:val="22"/>
        </w:rPr>
        <w:t xml:space="preserve">Başlama tarihi </w:t>
      </w:r>
    </w:p>
    <w:p w14:paraId="00000029">
      <w:pPr>
        <w:rPr>
          <w:color w:val="000000"/>
          <w:sz w:val="22"/>
          <w:szCs w:val="22"/>
        </w:rPr>
      </w:pPr>
      <w:r>
        <w:rPr>
          <w:color w:val="000000"/>
          <w:sz w:val="22"/>
          <w:szCs w:val="22"/>
        </w:rPr>
        <w:t xml:space="preserve">Uygulamaya başlama </w:t>
      </w:r>
      <w:r>
        <w:rPr>
          <w:color w:val="000000"/>
          <w:sz w:val="22"/>
          <w:szCs w:val="22"/>
        </w:rPr>
        <w:t xml:space="preserve">tarihi </w:t>
      </w:r>
      <w:r>
        <w:rPr>
          <w:color w:val="000000"/>
          <w:sz w:val="22"/>
          <w:szCs w:val="22"/>
          <w:highlight w:val="lightGray"/>
        </w:rPr>
        <w:t xml:space="preserve"> sözleşmenin</w:t>
      </w:r>
      <w:r>
        <w:rPr>
          <w:color w:val="000000"/>
          <w:sz w:val="22"/>
          <w:szCs w:val="22"/>
          <w:highlight w:val="lightGray"/>
        </w:rPr>
        <w:t xml:space="preserve"> her iki tarafça imzalandığı tarih</w:t>
      </w:r>
      <w:r>
        <w:rPr>
          <w:color w:val="000000"/>
          <w:sz w:val="22"/>
          <w:szCs w:val="22"/>
        </w:rPr>
        <w:t xml:space="preserve">  şeklindedir.</w:t>
      </w:r>
    </w:p>
    <w:p w14:paraId="0000002A">
      <w:pPr>
        <w:pStyle w:val="ListNumber"/>
        <w:spacing w:beforeAutospacing="0" w:after="120" w:afterAutospacing="0"/>
        <w:rPr>
          <w:b/>
          <w:color w:val="000000"/>
          <w:sz w:val="22"/>
          <w:szCs w:val="22"/>
          <w:lang w:val="tr-TR"/>
        </w:rPr>
      </w:pPr>
      <w:r>
        <w:rPr>
          <w:b/>
          <w:color w:val="000000"/>
          <w:sz w:val="22"/>
          <w:szCs w:val="22"/>
          <w:lang w:val="tr-TR"/>
        </w:rPr>
        <w:t xml:space="preserve">Uygulama Süresi </w:t>
      </w:r>
    </w:p>
    <w:p w14:paraId="0000002B">
      <w:pPr>
        <w:rPr>
          <w:color w:val="000000"/>
          <w:sz w:val="22"/>
          <w:szCs w:val="22"/>
        </w:rPr>
      </w:pPr>
      <w:r>
        <w:rPr>
          <w:color w:val="000000"/>
          <w:sz w:val="22"/>
          <w:szCs w:val="22"/>
        </w:rPr>
        <w:t xml:space="preserve">Sözleşmenin II ve III no.lu ekleri dahilinde ifade edilen görevlerin uygulama süresi, sözleşmenin başlama tarihinden itibaren 3 ay dır. </w:t>
      </w:r>
    </w:p>
    <w:p w14:paraId="0000002C">
      <w:pPr>
        <w:pStyle w:val="ListNumber"/>
        <w:spacing w:beforeAutospacing="0" w:after="120" w:afterAutospacing="0"/>
        <w:rPr>
          <w:b/>
          <w:color w:val="000000"/>
          <w:sz w:val="22"/>
          <w:szCs w:val="22"/>
          <w:lang w:val="tr-TR"/>
        </w:rPr>
      </w:pPr>
      <w:r>
        <w:rPr>
          <w:b/>
          <w:color w:val="000000"/>
          <w:sz w:val="22"/>
          <w:szCs w:val="22"/>
          <w:lang w:val="tr-TR"/>
        </w:rPr>
        <w:t>Raporlama</w:t>
      </w:r>
    </w:p>
    <w:p w14:paraId="0000002D">
      <w:pPr>
        <w:rPr>
          <w:color w:val="000000"/>
          <w:sz w:val="22"/>
          <w:szCs w:val="22"/>
        </w:rPr>
      </w:pPr>
      <w:r>
        <w:rPr>
          <w:color w:val="000000"/>
          <w:sz w:val="22"/>
          <w:szCs w:val="22"/>
        </w:rPr>
        <w:t>Yüklenici, ilerleme raporlarını Genel Ko</w:t>
      </w:r>
      <w:bookmarkStart w:id="0" w:name="_GoBack"/>
      <w:bookmarkEnd w:id="0"/>
      <w:r>
        <w:rPr>
          <w:color w:val="000000"/>
          <w:sz w:val="22"/>
          <w:szCs w:val="22"/>
        </w:rPr>
        <w:t>ş</w:t>
      </w:r>
      <w:r>
        <w:rPr>
          <w:color w:val="000000"/>
          <w:sz w:val="22"/>
          <w:szCs w:val="22"/>
        </w:rPr>
        <w:t>ulların ilgili maddelerinde ve Şartnamede belirtildiği şekliyle sunar.</w:t>
      </w:r>
    </w:p>
    <w:p w14:paraId="0000002E">
      <w:pPr>
        <w:pStyle w:val="ListNumber"/>
        <w:spacing w:beforeAutospacing="0" w:after="120" w:afterAutospacing="0"/>
        <w:rPr>
          <w:b/>
          <w:color w:val="000000"/>
          <w:sz w:val="22"/>
          <w:szCs w:val="22"/>
          <w:lang w:val="tr-TR"/>
        </w:rPr>
      </w:pPr>
      <w:r>
        <w:rPr>
          <w:b/>
          <w:color w:val="000000"/>
          <w:sz w:val="22"/>
          <w:szCs w:val="22"/>
          <w:lang w:val="tr-TR"/>
        </w:rPr>
        <w:t xml:space="preserve">İletişim-Tebligat Adresleri </w:t>
      </w:r>
    </w:p>
    <w:p w14:paraId="0000002F">
      <w:pPr>
        <w:keepNext w:val="on"/>
        <w:numPr>
          <w:ilvl w:val="1"/>
          <w:numId w:val="7"/>
        </w:numPr>
        <w:tabs>
          <w:tab w:val="clear" w:pos="360"/>
          <w:tab w:val="num" w:pos="0"/>
        </w:tabs>
        <w:ind w:left="0" w:firstLine="0"/>
        <w:rPr>
          <w:color w:val="000000"/>
          <w:sz w:val="22"/>
          <w:szCs w:val="22"/>
        </w:rPr>
      </w:pPr>
      <w:r>
        <w:rPr>
          <w:color w:val="000000"/>
          <w:sz w:val="22"/>
          <w:szCs w:val="22"/>
        </w:rPr>
        <w:t>Sözleşme Makamı ve Tedarikçi arasındaki bu sözleşme ile ilgili tüm yazışmalarda sözleşmenin başlığı ve kimlik numarası belirtilecektir. Yazışmalar, bu sözleşmedeki adreslere posta, faks yoluyla gönderilecek veya elden teslim edilecektir.</w:t>
      </w:r>
    </w:p>
    <w:p w14:paraId="00000030">
      <w:pPr>
        <w:keepNext w:val="on"/>
        <w:numPr>
          <w:ilvl w:val="1"/>
          <w:numId w:val="7"/>
        </w:numPr>
        <w:tabs>
          <w:tab w:val="clear" w:pos="360"/>
          <w:tab w:val="num" w:pos="0"/>
        </w:tabs>
        <w:ind w:left="0" w:firstLine="0"/>
        <w:rPr>
          <w:color w:val="000000"/>
          <w:sz w:val="22"/>
          <w:szCs w:val="22"/>
        </w:rPr>
      </w:pPr>
      <w:r>
        <w:rPr>
          <w:color w:val="000000"/>
          <w:sz w:val="22"/>
          <w:szCs w:val="22"/>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00000031">
      <w:pPr>
        <w:pStyle w:val="ListNumber"/>
        <w:spacing w:beforeAutospacing="0" w:after="120" w:afterAutospacing="0"/>
        <w:rPr>
          <w:b/>
          <w:color w:val="000000"/>
          <w:sz w:val="22"/>
          <w:szCs w:val="22"/>
          <w:lang w:val="tr-TR"/>
        </w:rPr>
      </w:pPr>
      <w:r>
        <w:rPr>
          <w:b/>
          <w:color w:val="000000"/>
          <w:sz w:val="22"/>
          <w:szCs w:val="22"/>
          <w:lang w:val="tr-TR"/>
        </w:rPr>
        <w:t xml:space="preserve">Sözleşmenin tabi olduğu hukuk ve dili </w:t>
      </w:r>
    </w:p>
    <w:p w14:paraId="00000032">
      <w:pPr>
        <w:keepNext w:val="on"/>
        <w:numPr>
          <w:ilvl w:val="1"/>
          <w:numId w:val="8"/>
        </w:numPr>
        <w:rPr>
          <w:color w:val="000000"/>
          <w:sz w:val="22"/>
          <w:szCs w:val="22"/>
        </w:rPr>
      </w:pPr>
      <w:r>
        <w:rPr>
          <w:color w:val="000000"/>
          <w:sz w:val="22"/>
          <w:szCs w:val="22"/>
        </w:rPr>
        <w:t xml:space="preserve">Sözleşmede düzenlenmeyen her husus Türkiye Cumhuriyeti kanunları kapsamında değerlendirilecektir. </w:t>
      </w:r>
    </w:p>
    <w:p w14:paraId="00000033">
      <w:pPr>
        <w:keepNext w:val="on"/>
        <w:numPr>
          <w:ilvl w:val="1"/>
          <w:numId w:val="8"/>
        </w:numPr>
        <w:rPr>
          <w:color w:val="000000"/>
          <w:sz w:val="22"/>
          <w:szCs w:val="22"/>
        </w:rPr>
      </w:pPr>
      <w:r>
        <w:rPr>
          <w:color w:val="000000"/>
          <w:sz w:val="22"/>
          <w:szCs w:val="22"/>
        </w:rPr>
        <w:t>Sözleşmenin dili; taraflar arasındaki bütün yazılı iletişim Türkçe yapılır.</w:t>
      </w:r>
    </w:p>
    <w:p w14:paraId="00000034">
      <w:pPr>
        <w:pStyle w:val="ListNumber"/>
        <w:spacing w:beforeAutospacing="0" w:after="120" w:afterAutospacing="0"/>
        <w:rPr>
          <w:b/>
          <w:color w:val="000000"/>
          <w:sz w:val="22"/>
          <w:szCs w:val="22"/>
          <w:lang w:val="tr-TR"/>
        </w:rPr>
      </w:pPr>
      <w:r>
        <w:rPr>
          <w:b/>
          <w:color w:val="000000"/>
          <w:sz w:val="22"/>
          <w:szCs w:val="22"/>
          <w:lang w:val="tr-TR"/>
        </w:rPr>
        <w:t xml:space="preserve">Anlaşmazlıkların giderilmesi </w:t>
      </w:r>
    </w:p>
    <w:p w14:paraId="00000035">
      <w:pPr>
        <w:rPr>
          <w:color w:val="000000"/>
          <w:sz w:val="22"/>
          <w:szCs w:val="22"/>
        </w:rPr>
      </w:pPr>
      <w:r>
        <w:rPr>
          <w:color w:val="000000"/>
          <w:sz w:val="22"/>
          <w:szCs w:val="22"/>
        </w:rPr>
        <w:t xml:space="preserve">Bu sözleşmeyle ilgili ya da bu sözleşmeden dolayı ortaya çıkan ve diğer herhangi bir şekilde çözümlenemeyen herhangi bir anlaşmazlık </w:t>
      </w:r>
      <w:r>
        <w:rPr>
          <w:b/>
          <w:bCs/>
          <w:color w:val="000000"/>
          <w:sz w:val="22"/>
          <w:szCs w:val="22"/>
        </w:rPr>
        <w:t xml:space="preserve">ŞANLIURFA </w:t>
      </w:r>
      <w:r>
        <w:rPr>
          <w:color w:val="000000"/>
          <w:sz w:val="22"/>
          <w:szCs w:val="22"/>
        </w:rPr>
        <w:t xml:space="preserve"> mahkemelerince</w:t>
      </w:r>
      <w:r>
        <w:rPr>
          <w:color w:val="000000"/>
          <w:sz w:val="22"/>
          <w:szCs w:val="22"/>
        </w:rPr>
        <w:t xml:space="preserve"> çözülür.</w:t>
      </w:r>
    </w:p>
    <w:p w14:paraId="00000036">
      <w:pPr>
        <w:rPr>
          <w:color w:val="000000"/>
          <w:sz w:val="22"/>
          <w:szCs w:val="22"/>
        </w:rPr>
      </w:pPr>
      <w:r>
        <w:rPr>
          <w:color w:val="000000"/>
          <w:sz w:val="22"/>
          <w:szCs w:val="22"/>
        </w:rPr>
        <w:t>İş bu sözleşme, bir tanesi Sözleşme Makamı diğeri ise Yüklenicide kalacak şekilde, iki asıl nüsha olarak hazırlanmıştır.</w:t>
      </w:r>
    </w:p>
    <w:p w14:paraId="00000037">
      <w:pPr>
        <w:keepNext w:val="on"/>
        <w:rPr>
          <w:color w:val="000000"/>
          <w:sz w:val="22"/>
          <w:szCs w:val="22"/>
        </w:rPr>
      </w:pPr>
    </w:p>
    <w:tbl>
      <w:tblPr>
        <w:tblW w:w="9501" w:type="dxa"/>
        <w:tblLayout w:type="fixed"/>
        <w:tblLook w:val="0000"/>
      </w:tblPr>
      <w:tblGrid>
        <w:gridCol w:w="1599"/>
        <w:gridCol w:w="3259"/>
        <w:gridCol w:w="2321"/>
        <w:gridCol w:w="2322"/>
      </w:tblGrid>
      <w:tr>
        <w:trPr/>
        <w:tc>
          <w:tcPr>
            <w:cnfStyle w:val="000010100000"/>
            <w:tcW w:w="4858" w:type="dxa"/>
            <w:gridSpan w:val="2"/>
          </w:tcPr>
          <w:p w14:paraId="00000038">
            <w:pPr>
              <w:pStyle w:val="BodyText"/>
              <w:rPr>
                <w:b/>
                <w:color w:val="000000"/>
                <w:sz w:val="22"/>
                <w:szCs w:val="22"/>
                <w:lang w:val="tr-TR"/>
              </w:rPr>
            </w:pPr>
            <w:r>
              <w:rPr>
                <w:b/>
                <w:color w:val="000000"/>
                <w:sz w:val="22"/>
                <w:szCs w:val="22"/>
                <w:lang w:val="tr-TR"/>
              </w:rPr>
              <w:t>Yüklenicinin</w:t>
            </w:r>
          </w:p>
        </w:tc>
        <w:tc>
          <w:tcPr>
            <w:cnfStyle w:val="000001100000"/>
            <w:tcW w:w="4643" w:type="dxa"/>
            <w:gridSpan w:val="2"/>
          </w:tcPr>
          <w:p w14:paraId="00000039">
            <w:pPr>
              <w:pStyle w:val="BodyText"/>
              <w:rPr>
                <w:b/>
                <w:color w:val="000000"/>
                <w:sz w:val="22"/>
                <w:szCs w:val="22"/>
                <w:lang w:val="tr-TR"/>
              </w:rPr>
            </w:pPr>
            <w:r>
              <w:rPr>
                <w:b/>
                <w:color w:val="000000"/>
                <w:sz w:val="22"/>
                <w:szCs w:val="22"/>
                <w:lang w:val="tr-TR"/>
              </w:rPr>
              <w:t>Sözleşme Makamının</w:t>
            </w:r>
          </w:p>
        </w:tc>
      </w:tr>
      <w:tr>
        <w:trPr>
          <w:cantSplit w:val="on"/>
        </w:trPr>
        <w:tc>
          <w:tcPr>
            <w:cnfStyle w:val="000010010000"/>
            <w:tcW w:w="1599" w:type="dxa"/>
          </w:tcPr>
          <w:p w14:paraId="0000003A">
            <w:pPr>
              <w:pStyle w:val="BodyText"/>
              <w:rPr>
                <w:color w:val="000000"/>
                <w:sz w:val="22"/>
                <w:szCs w:val="22"/>
                <w:lang w:val="tr-TR"/>
              </w:rPr>
            </w:pPr>
            <w:r>
              <w:rPr>
                <w:color w:val="000000"/>
                <w:sz w:val="22"/>
                <w:szCs w:val="22"/>
                <w:lang w:val="tr-TR"/>
              </w:rPr>
              <w:t>Adı:</w:t>
            </w:r>
          </w:p>
        </w:tc>
        <w:tc>
          <w:tcPr>
            <w:cnfStyle w:val="000001010000"/>
            <w:tcW w:w="3259" w:type="dxa"/>
          </w:tcPr>
          <w:p w14:paraId="0000003B">
            <w:pPr>
              <w:pStyle w:val="BodyText"/>
              <w:rPr>
                <w:color w:val="000000"/>
                <w:sz w:val="22"/>
                <w:szCs w:val="22"/>
                <w:lang w:val="tr-TR"/>
              </w:rPr>
            </w:pPr>
          </w:p>
        </w:tc>
        <w:tc>
          <w:tcPr>
            <w:cnfStyle w:val="000010010000"/>
            <w:tcW w:w="2321" w:type="dxa"/>
          </w:tcPr>
          <w:p w14:paraId="0000003C">
            <w:pPr>
              <w:ind w:firstLine="708"/>
              <w:rPr>
                <w:b/>
                <w:bCs/>
                <w:sz w:val="22"/>
                <w:szCs w:val="22"/>
              </w:rPr>
            </w:pPr>
            <w:r>
              <w:rPr>
                <w:color w:val="000000"/>
                <w:sz w:val="22"/>
                <w:szCs w:val="22"/>
              </w:rPr>
              <w:t>Adı:</w:t>
            </w:r>
            <w:r>
              <w:rPr>
                <w:b/>
                <w:bCs/>
                <w:sz w:val="22"/>
                <w:szCs w:val="22"/>
              </w:rPr>
              <w:t>Cihat</w:t>
            </w:r>
            <w:r>
              <w:rPr>
                <w:b/>
                <w:bCs/>
                <w:sz w:val="22"/>
                <w:szCs w:val="22"/>
              </w:rPr>
              <w:t xml:space="preserve"> Hatipoğlu Tarım Hayvancılık Gıda Nakliyat  Sanayi Ve Ticaret Limited Şirketi</w:t>
            </w:r>
          </w:p>
          <w:p w14:paraId="0000003D">
            <w:pPr>
              <w:pStyle w:val="BodyText"/>
              <w:rPr>
                <w:color w:val="000000"/>
                <w:sz w:val="22"/>
                <w:szCs w:val="22"/>
                <w:lang w:val="tr-TR"/>
              </w:rPr>
            </w:pPr>
          </w:p>
        </w:tc>
        <w:tc>
          <w:tcPr>
            <w:cnfStyle w:val="000001010000"/>
            <w:tcW w:w="2322" w:type="dxa"/>
          </w:tcPr>
          <w:p w14:paraId="0000003E">
            <w:pPr>
              <w:pStyle w:val="BodyText"/>
              <w:rPr>
                <w:color w:val="000000"/>
                <w:sz w:val="22"/>
                <w:szCs w:val="22"/>
                <w:lang w:val="tr-TR"/>
              </w:rPr>
            </w:pPr>
          </w:p>
        </w:tc>
      </w:tr>
      <w:tr>
        <w:trPr>
          <w:cantSplit w:val="on"/>
        </w:trPr>
        <w:tc>
          <w:tcPr>
            <w:cnfStyle w:val="000010100000"/>
            <w:tcW w:w="1599" w:type="dxa"/>
          </w:tcPr>
          <w:p w14:paraId="0000003F">
            <w:pPr>
              <w:pStyle w:val="BodyText"/>
              <w:rPr>
                <w:color w:val="000000"/>
                <w:sz w:val="22"/>
                <w:szCs w:val="22"/>
                <w:lang w:val="tr-TR"/>
              </w:rPr>
            </w:pPr>
            <w:r>
              <w:rPr>
                <w:color w:val="000000"/>
                <w:sz w:val="22"/>
                <w:szCs w:val="22"/>
                <w:lang w:val="tr-TR"/>
              </w:rPr>
              <w:t>Unvanı:</w:t>
            </w:r>
          </w:p>
        </w:tc>
        <w:tc>
          <w:tcPr>
            <w:cnfStyle w:val="000001100000"/>
            <w:tcW w:w="3259" w:type="dxa"/>
          </w:tcPr>
          <w:p w14:paraId="00000040">
            <w:pPr>
              <w:pStyle w:val="BodyText"/>
              <w:rPr>
                <w:color w:val="000000"/>
                <w:sz w:val="22"/>
                <w:szCs w:val="22"/>
                <w:lang w:val="tr-TR"/>
              </w:rPr>
            </w:pPr>
          </w:p>
        </w:tc>
        <w:tc>
          <w:tcPr>
            <w:cnfStyle w:val="000010100000"/>
            <w:tcW w:w="2321" w:type="dxa"/>
          </w:tcPr>
          <w:p w14:paraId="00000041">
            <w:pPr>
              <w:pStyle w:val="BodyText"/>
              <w:rPr>
                <w:color w:val="000000"/>
                <w:sz w:val="22"/>
                <w:szCs w:val="22"/>
                <w:lang w:val="tr-TR"/>
              </w:rPr>
            </w:pPr>
            <w:r>
              <w:rPr>
                <w:color w:val="000000"/>
                <w:sz w:val="22"/>
                <w:szCs w:val="22"/>
                <w:lang w:val="tr-TR"/>
              </w:rPr>
              <w:t>Unvanı:BAŞVURU</w:t>
            </w:r>
            <w:r>
              <w:rPr>
                <w:color w:val="000000"/>
                <w:sz w:val="22"/>
                <w:szCs w:val="22"/>
                <w:lang w:val="tr-TR"/>
              </w:rPr>
              <w:t xml:space="preserve"> SAHİBİ </w:t>
            </w:r>
          </w:p>
        </w:tc>
        <w:tc>
          <w:tcPr>
            <w:cnfStyle w:val="000001100000"/>
            <w:tcW w:w="2322" w:type="dxa"/>
          </w:tcPr>
          <w:p w14:paraId="00000042">
            <w:pPr>
              <w:pStyle w:val="BodyText"/>
              <w:rPr>
                <w:color w:val="000000"/>
                <w:sz w:val="22"/>
                <w:szCs w:val="22"/>
                <w:lang w:val="tr-TR"/>
              </w:rPr>
            </w:pPr>
          </w:p>
        </w:tc>
      </w:tr>
      <w:tr>
        <w:trPr>
          <w:cantSplit w:val="on"/>
        </w:trPr>
        <w:tc>
          <w:tcPr>
            <w:cnfStyle w:val="000010010000"/>
            <w:tcW w:w="1599" w:type="dxa"/>
          </w:tcPr>
          <w:p w14:paraId="00000043">
            <w:pPr>
              <w:pStyle w:val="BodyText"/>
              <w:rPr>
                <w:color w:val="000000"/>
                <w:sz w:val="22"/>
                <w:szCs w:val="22"/>
                <w:lang w:val="tr-TR"/>
              </w:rPr>
            </w:pPr>
            <w:r>
              <w:rPr>
                <w:color w:val="000000"/>
                <w:sz w:val="22"/>
                <w:szCs w:val="22"/>
                <w:lang w:val="tr-TR"/>
              </w:rPr>
              <w:t>İmzası:</w:t>
            </w:r>
          </w:p>
        </w:tc>
        <w:tc>
          <w:tcPr>
            <w:cnfStyle w:val="000001010000"/>
            <w:tcW w:w="3259" w:type="dxa"/>
          </w:tcPr>
          <w:p w14:paraId="00000044">
            <w:pPr>
              <w:pStyle w:val="BodyText"/>
              <w:rPr>
                <w:color w:val="000000"/>
                <w:sz w:val="22"/>
                <w:szCs w:val="22"/>
                <w:lang w:val="tr-TR"/>
              </w:rPr>
            </w:pPr>
          </w:p>
        </w:tc>
        <w:tc>
          <w:tcPr>
            <w:cnfStyle w:val="000010010000"/>
            <w:tcW w:w="2321" w:type="dxa"/>
          </w:tcPr>
          <w:p w14:paraId="00000045">
            <w:pPr>
              <w:pStyle w:val="BodyText"/>
              <w:rPr>
                <w:color w:val="000000"/>
                <w:sz w:val="22"/>
                <w:szCs w:val="22"/>
                <w:lang w:val="tr-TR"/>
              </w:rPr>
            </w:pPr>
            <w:r>
              <w:rPr>
                <w:color w:val="000000"/>
                <w:sz w:val="22"/>
                <w:szCs w:val="22"/>
                <w:lang w:val="tr-TR"/>
              </w:rPr>
              <w:t>İmzası:</w:t>
            </w:r>
          </w:p>
        </w:tc>
        <w:tc>
          <w:tcPr>
            <w:cnfStyle w:val="000001010000"/>
            <w:tcW w:w="2322" w:type="dxa"/>
          </w:tcPr>
          <w:p w14:paraId="00000046">
            <w:pPr>
              <w:pStyle w:val="BodyText"/>
              <w:rPr>
                <w:color w:val="000000"/>
                <w:sz w:val="22"/>
                <w:szCs w:val="22"/>
                <w:lang w:val="tr-TR"/>
              </w:rPr>
            </w:pPr>
          </w:p>
        </w:tc>
      </w:tr>
      <w:tr>
        <w:trPr>
          <w:cantSplit w:val="on"/>
        </w:trPr>
        <w:tc>
          <w:tcPr>
            <w:cnfStyle w:val="000010100000"/>
            <w:tcW w:w="1599" w:type="dxa"/>
          </w:tcPr>
          <w:p w14:paraId="00000047">
            <w:pPr>
              <w:pStyle w:val="BodyText"/>
              <w:rPr>
                <w:color w:val="000000"/>
                <w:sz w:val="22"/>
                <w:szCs w:val="22"/>
                <w:lang w:val="tr-TR"/>
              </w:rPr>
            </w:pPr>
            <w:r>
              <w:rPr>
                <w:color w:val="000000"/>
                <w:sz w:val="22"/>
                <w:szCs w:val="22"/>
                <w:lang w:val="tr-TR"/>
              </w:rPr>
              <w:t>Tarih:</w:t>
            </w:r>
          </w:p>
        </w:tc>
        <w:tc>
          <w:tcPr>
            <w:cnfStyle w:val="000001100000"/>
            <w:tcW w:w="3259" w:type="dxa"/>
          </w:tcPr>
          <w:p w14:paraId="00000048">
            <w:pPr>
              <w:pStyle w:val="BodyText"/>
              <w:rPr>
                <w:color w:val="000000"/>
                <w:sz w:val="22"/>
                <w:szCs w:val="22"/>
                <w:lang w:val="tr-TR"/>
              </w:rPr>
            </w:pPr>
          </w:p>
        </w:tc>
        <w:tc>
          <w:tcPr>
            <w:cnfStyle w:val="000010100000"/>
            <w:tcW w:w="2321" w:type="dxa"/>
          </w:tcPr>
          <w:p w14:paraId="00000049">
            <w:pPr>
              <w:pStyle w:val="BodyText"/>
              <w:rPr>
                <w:color w:val="000000"/>
                <w:sz w:val="22"/>
                <w:szCs w:val="22"/>
                <w:lang w:val="tr-TR"/>
              </w:rPr>
            </w:pPr>
            <w:r>
              <w:rPr>
                <w:color w:val="000000"/>
                <w:sz w:val="22"/>
                <w:szCs w:val="22"/>
                <w:lang w:val="tr-TR"/>
              </w:rPr>
              <w:t>Tarih:</w:t>
            </w:r>
          </w:p>
        </w:tc>
        <w:tc>
          <w:tcPr>
            <w:cnfStyle w:val="000001100000"/>
            <w:tcW w:w="2322" w:type="dxa"/>
          </w:tcPr>
          <w:p w14:paraId="0000004A">
            <w:pPr>
              <w:pStyle w:val="BodyText"/>
              <w:rPr>
                <w:color w:val="000000"/>
                <w:sz w:val="22"/>
                <w:szCs w:val="22"/>
                <w:lang w:val="tr-TR"/>
              </w:rPr>
            </w:pPr>
          </w:p>
        </w:tc>
      </w:tr>
    </w:tbl>
    <w:p w14:paraId="0000004B">
      <w:pPr>
        <w:rPr>
          <w:sz w:val="22"/>
          <w:szCs w:val="22"/>
        </w:rPr>
      </w:pPr>
    </w:p>
    <w:p w14:paraId="0000004C">
      <w:pPr>
        <w:rPr>
          <w:sz w:val="22"/>
          <w:szCs w:val="22"/>
        </w:rPr>
      </w:pPr>
    </w:p>
    <w:p w14:paraId="0000004D">
      <w:pPr>
        <w:rPr>
          <w:sz w:val="22"/>
          <w:szCs w:val="22"/>
        </w:rPr>
      </w:pPr>
    </w:p>
    <w:p w14:paraId="0000004E">
      <w:pPr>
        <w:rPr>
          <w:sz w:val="22"/>
          <w:szCs w:val="22"/>
        </w:rPr>
      </w:pPr>
    </w:p>
    <w:p w14:paraId="0000004F">
      <w:pPr>
        <w:rPr>
          <w:sz w:val="22"/>
          <w:szCs w:val="22"/>
        </w:rPr>
      </w:pPr>
    </w:p>
    <w:p w14:paraId="00000050">
      <w:pPr>
        <w:rPr>
          <w:sz w:val="22"/>
          <w:szCs w:val="22"/>
        </w:rPr>
      </w:pPr>
    </w:p>
    <w:p w14:paraId="00000051">
      <w:pPr>
        <w:rPr>
          <w:sz w:val="22"/>
          <w:szCs w:val="22"/>
        </w:rPr>
      </w:pPr>
    </w:p>
    <w:p w14:paraId="00000052">
      <w:pPr>
        <w:rPr>
          <w:sz w:val="22"/>
          <w:szCs w:val="22"/>
        </w:rPr>
      </w:pPr>
    </w:p>
    <w:p w14:paraId="00000053">
      <w:pPr>
        <w:rPr>
          <w:sz w:val="22"/>
          <w:szCs w:val="22"/>
        </w:rPr>
      </w:pPr>
    </w:p>
    <w:p w14:paraId="00000054">
      <w:pPr>
        <w:rPr>
          <w:sz w:val="22"/>
          <w:szCs w:val="22"/>
        </w:rPr>
      </w:pPr>
    </w:p>
    <w:p w14:paraId="00000055">
      <w:pPr>
        <w:rPr>
          <w:sz w:val="22"/>
          <w:szCs w:val="22"/>
        </w:rPr>
      </w:pPr>
    </w:p>
    <w:p w14:paraId="00000056">
      <w:pPr>
        <w:rPr>
          <w:sz w:val="22"/>
          <w:szCs w:val="22"/>
        </w:rPr>
      </w:pPr>
    </w:p>
    <w:p w14:paraId="00000057">
      <w:pPr>
        <w:rPr>
          <w:sz w:val="22"/>
          <w:szCs w:val="22"/>
        </w:rPr>
      </w:pPr>
    </w:p>
    <w:p w14:paraId="00000058">
      <w:pPr>
        <w:rPr>
          <w:sz w:val="22"/>
          <w:szCs w:val="22"/>
        </w:rPr>
      </w:pPr>
    </w:p>
    <w:p w14:paraId="00000059">
      <w:pPr>
        <w:rPr>
          <w:sz w:val="22"/>
          <w:szCs w:val="22"/>
        </w:rPr>
      </w:pPr>
    </w:p>
    <w:p w14:paraId="0000005A">
      <w:pPr>
        <w:rPr>
          <w:sz w:val="22"/>
          <w:szCs w:val="22"/>
        </w:rPr>
      </w:pPr>
    </w:p>
    <w:p w14:paraId="0000005B">
      <w:pPr>
        <w:rPr>
          <w:sz w:val="22"/>
          <w:szCs w:val="22"/>
        </w:rPr>
      </w:pPr>
    </w:p>
    <w:p w14:paraId="0000005C">
      <w:pPr>
        <w:rPr>
          <w:sz w:val="22"/>
          <w:szCs w:val="22"/>
        </w:rPr>
      </w:pPr>
    </w:p>
    <w:p w14:paraId="0000005D">
      <w:pPr>
        <w:rPr>
          <w:sz w:val="22"/>
          <w:szCs w:val="22"/>
        </w:rPr>
      </w:pPr>
    </w:p>
    <w:p w14:paraId="0000005E">
      <w:pPr>
        <w:rPr>
          <w:sz w:val="22"/>
          <w:szCs w:val="22"/>
        </w:rPr>
      </w:pPr>
    </w:p>
    <w:p w14:paraId="0000005F"/>
    <w:p w14:paraId="00000060"/>
    <w:p w14:paraId="00000061"/>
    <w:p w14:paraId="00000062"/>
    <w:p w14:paraId="00000063"/>
    <w:p w14:paraId="00000064">
      <w:pPr>
        <w:pStyle w:val="Heading6"/>
        <w:jc w:val="center"/>
        <w:rPr/>
      </w:pPr>
      <w:bookmarkStart w:id="1" w:name="_Toc233021554"/>
      <w:bookmarkStart w:id="2" w:name="_Söz.Ek-1:_Genel_Koşullar"/>
      <w:bookmarkEnd w:id="2"/>
      <w:r>
        <w:t>S</w:t>
      </w:r>
      <w:r>
        <w:t>öz. Ek-1: Genel Koşullar</w:t>
      </w:r>
      <w:bookmarkEnd w:id="1"/>
    </w:p>
    <w:p w14:paraId="00000065">
      <w:pPr>
        <w:spacing w:beforeAutospacing="0" w:after="120" w:afterAutospacing="0"/>
        <w:jc w:val="center"/>
        <w:rPr>
          <w:b/>
          <w:color w:val="000000"/>
          <w:sz w:val="36"/>
          <w:szCs w:val="36"/>
        </w:rPr>
      </w:pPr>
    </w:p>
    <w:p w14:paraId="00000066">
      <w:pPr>
        <w:spacing w:beforeAutospacing="0" w:after="120" w:afterAutospacing="0"/>
        <w:jc w:val="center"/>
        <w:rPr>
          <w:b/>
          <w:color w:val="000000"/>
          <w:sz w:val="36"/>
          <w:szCs w:val="36"/>
        </w:rPr>
      </w:pPr>
    </w:p>
    <w:p w14:paraId="00000067">
      <w:pPr>
        <w:spacing w:beforeAutospacing="0" w:after="120" w:afterAutospacing="0"/>
        <w:jc w:val="center"/>
        <w:rPr>
          <w:b/>
          <w:color w:val="000000"/>
          <w:sz w:val="36"/>
          <w:szCs w:val="36"/>
        </w:rPr>
      </w:pPr>
    </w:p>
    <w:p w14:paraId="00000068">
      <w:pPr>
        <w:spacing w:beforeAutospacing="0" w:after="120" w:afterAutospacing="0"/>
        <w:jc w:val="center"/>
        <w:rPr>
          <w:b/>
          <w:color w:val="000000"/>
          <w:sz w:val="36"/>
          <w:szCs w:val="36"/>
        </w:rPr>
      </w:pPr>
    </w:p>
    <w:p w14:paraId="00000069">
      <w:pPr>
        <w:spacing w:beforeAutospacing="0" w:after="120" w:afterAutospacing="0"/>
        <w:jc w:val="center"/>
        <w:rPr>
          <w:b/>
          <w:color w:val="000000"/>
          <w:sz w:val="36"/>
          <w:szCs w:val="36"/>
        </w:rPr>
      </w:pPr>
    </w:p>
    <w:p w14:paraId="0000006A">
      <w:pPr>
        <w:spacing w:beforeAutospacing="0" w:after="120" w:afterAutospacing="0"/>
        <w:jc w:val="center"/>
        <w:rPr>
          <w:b/>
          <w:color w:val="000000"/>
          <w:sz w:val="36"/>
          <w:szCs w:val="36"/>
        </w:rPr>
      </w:pPr>
    </w:p>
    <w:p w14:paraId="0000006B">
      <w:pPr>
        <w:spacing w:beforeAutospacing="0" w:after="120" w:afterAutospacing="0"/>
        <w:jc w:val="center"/>
        <w:rPr>
          <w:b/>
          <w:color w:val="000000"/>
          <w:sz w:val="36"/>
          <w:szCs w:val="36"/>
        </w:rPr>
      </w:pPr>
    </w:p>
    <w:p w14:paraId="0000006C">
      <w:pPr>
        <w:spacing w:beforeAutospacing="0" w:after="120" w:afterAutospacing="0"/>
        <w:jc w:val="center"/>
        <w:rPr>
          <w:b/>
          <w:color w:val="000000"/>
          <w:sz w:val="36"/>
          <w:szCs w:val="36"/>
        </w:rPr>
      </w:pPr>
    </w:p>
    <w:p w14:paraId="0000006D">
      <w:pPr>
        <w:spacing w:beforeAutospacing="0" w:after="120" w:afterAutospacing="0"/>
        <w:jc w:val="center"/>
        <w:rPr>
          <w:b/>
          <w:color w:val="000000"/>
          <w:sz w:val="36"/>
          <w:szCs w:val="36"/>
        </w:rPr>
      </w:pPr>
    </w:p>
    <w:p w14:paraId="0000006E">
      <w:pPr>
        <w:jc w:val="right"/>
        <w:rPr>
          <w:b/>
          <w:color w:val="000000"/>
          <w:sz w:val="20"/>
          <w:szCs w:val="20"/>
          <w:u w:val="single"/>
        </w:rPr>
      </w:pPr>
    </w:p>
    <w:p w14:paraId="0000006F">
      <w:pPr>
        <w:jc w:val="right"/>
        <w:rPr>
          <w:b/>
          <w:color w:val="000000"/>
          <w:sz w:val="20"/>
          <w:szCs w:val="20"/>
          <w:u w:val="single"/>
        </w:rPr>
      </w:pPr>
    </w:p>
    <w:p w14:paraId="00000070">
      <w:pPr>
        <w:jc w:val="right"/>
        <w:rPr>
          <w:b/>
          <w:color w:val="000000"/>
          <w:sz w:val="20"/>
          <w:szCs w:val="20"/>
          <w:u w:val="single"/>
        </w:rPr>
      </w:pPr>
    </w:p>
    <w:p w14:paraId="00000071">
      <w:pPr>
        <w:jc w:val="right"/>
        <w:rPr>
          <w:b/>
          <w:color w:val="000000"/>
          <w:sz w:val="20"/>
          <w:szCs w:val="20"/>
          <w:u w:val="single"/>
        </w:rPr>
      </w:pPr>
      <w:r>
        <w:rPr>
          <w:b/>
          <w:color w:val="000000"/>
          <w:sz w:val="20"/>
          <w:szCs w:val="20"/>
          <w:u w:val="single"/>
        </w:rPr>
        <w:br w:type="page"/>
      </w:r>
      <w:r>
        <w:rPr>
          <w:b/>
          <w:color w:val="000000"/>
          <w:sz w:val="20"/>
          <w:szCs w:val="20"/>
          <w:u w:val="single"/>
        </w:rPr>
        <w:t>SözEK:01</w:t>
      </w:r>
    </w:p>
    <w:p w14:paraId="00000072">
      <w:pPr>
        <w:jc w:val="center"/>
        <w:rPr>
          <w:b/>
          <w:sz w:val="20"/>
          <w:szCs w:val="20"/>
        </w:rPr>
      </w:pPr>
      <w:r>
        <w:rPr>
          <w:b/>
          <w:sz w:val="20"/>
          <w:szCs w:val="20"/>
        </w:rPr>
        <w:t xml:space="preserve">Kalkınma Ajansları Tarafından Finanse Edilen Projelerde </w:t>
      </w:r>
    </w:p>
    <w:p w14:paraId="00000073">
      <w:pPr>
        <w:jc w:val="center"/>
        <w:rPr>
          <w:b/>
          <w:sz w:val="20"/>
          <w:szCs w:val="20"/>
        </w:rPr>
      </w:pPr>
      <w:r>
        <w:rPr>
          <w:b/>
          <w:sz w:val="20"/>
          <w:szCs w:val="20"/>
        </w:rPr>
        <w:t xml:space="preserve">Mal ve Hizmet Alımı ile Yapım İşi Sözleşmelerine İlişkin </w:t>
      </w:r>
    </w:p>
    <w:p w14:paraId="00000074">
      <w:pPr>
        <w:jc w:val="center"/>
        <w:rPr>
          <w:b/>
          <w:sz w:val="20"/>
          <w:szCs w:val="20"/>
        </w:rPr>
      </w:pPr>
      <w:r>
        <w:rPr>
          <w:b/>
          <w:sz w:val="20"/>
          <w:szCs w:val="20"/>
        </w:rPr>
        <w:t xml:space="preserve">GENEL KOŞULLAR                                                              </w:t>
      </w:r>
    </w:p>
    <w:p w14:paraId="00000075">
      <w:pPr>
        <w:rPr>
          <w:sz w:val="20"/>
          <w:szCs w:val="20"/>
        </w:rPr>
      </w:pPr>
      <w:r>
        <w:rPr>
          <w:sz w:val="20"/>
          <w:szCs w:val="20"/>
        </w:rPr>
        <mc:AlternateContent>
          <mc:Choice Requires="wps">
            <w:drawing xmlns:mc="http://schemas.openxmlformats.org/markup-compatibility/2006">
              <wp:inline distT="0" distB="0" distL="0" distR="0">
                <wp:extent cx="6069965" cy="347980"/>
                <wp:effectExtent l="0" t="0" r="9526" b="9525"/>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Pr id="8" name="Text Box 3"/>
                      <wps:cNvSpPr txBox="1">
                        <a:spLocks noChangeArrowheads="1"/>
                      </wps:cNvSpPr>
                      <wps:spPr>
                        <a:xfrm>
                          <a:off x="0" y="0"/>
                          <a:ext cx="6069965" cy="347980"/>
                        </a:xfrm>
                        <a:prstGeom prst="rect">
                          <a:avLst/>
                        </a:prstGeom>
                        <a:solidFill>
                          <a:srgbClr val="C0C0C0"/>
                        </a:solidFill>
                        <a:ln w="9525">
                          <a:solidFill>
                            <a:srgbClr val="000000"/>
                          </a:solidFill>
                          <a:miter lim="800000"/>
                        </a:ln>
                      </wps:spPr>
                      <wps:txbx id="1">
                        <w:txbxContent>
                          <w:p w14:paraId="00000076">
                            <w:pPr>
                              <w:rPr>
                                <w:sz w:val="18"/>
                                <w:szCs w:val="18"/>
                              </w:rPr>
                            </w:pPr>
                            <w:r>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upright="1">
                        <a:noAutofit/>
                      </wps:bodyPr>
                    </wps:wsp>
                  </a:graphicData>
                </a:graphic>
              </wp:inline>
            </w:drawing>
          </mc:Choice>
          <mc:Fallback>
            <w:pict>
              <v:shape id="8A657350-1532-9680-DC7F10BA63CE" coordsize="21600,21600" style="width:477.95pt;height:27.4pt;margin-top:0pt;margin-left:0pt;mso-wrap-distance-left:0pt;mso-wrap-distance-right:0pt;mso-wrap-distance-top:0pt;mso-wrap-distance-bottom:0pt;mso-position-horizontal-relative:margin;mso-position-vertical-relative:margin;rotation:0.000000;z-index:0;" fillcolor="#c0c0c0" strokecolor="#000000" strokeweight="0.75pt" o:spt="1" path="m0,0 l0,21600 r21600,0 l21600,0 x e">
                <v:stroke color="#000000" filltype="solid" joinstyle="miter" linestyle="single" mitterlimit="800000" weight="0.75pt"/>
                <w10:wrap type="none" side="both"/>
                <v:fill type="solid" color="#c0c0c0" opacity="1.000000"/>
                <o:lock/>
              </v:shape>
            </w:pict>
          </mc:Fallback>
        </mc:AlternateContent>
      </w:r>
    </w:p>
    <w:p w14:paraId="00000077">
      <w:pPr>
        <w:jc w:val="center"/>
        <w:rPr>
          <w:b/>
          <w:sz w:val="20"/>
          <w:szCs w:val="20"/>
        </w:rPr>
      </w:pPr>
      <w:r>
        <w:rPr>
          <w:b/>
          <w:sz w:val="20"/>
          <w:szCs w:val="20"/>
        </w:rPr>
        <w:t>BAŞLANGIÇ HÜKÜMLERİ</w:t>
      </w:r>
    </w:p>
    <w:p w14:paraId="00000078">
      <w:pPr>
        <w:numPr>
          <w:ilvl w:val="0"/>
          <w:numId w:val="10"/>
        </w:numPr>
        <w:spacing w:before="120" w:beforeAutospacing="0" w:after="0" w:afterAutospacing="0" w:line="240" w:lineRule="auto"/>
        <w:jc w:val="both"/>
        <w:rPr>
          <w:b/>
          <w:sz w:val="20"/>
          <w:szCs w:val="20"/>
        </w:rPr>
      </w:pPr>
      <w:r>
        <w:rPr>
          <w:b/>
          <w:sz w:val="20"/>
          <w:szCs w:val="20"/>
        </w:rPr>
        <w:t>Tanımlar ve Genel Kurallar</w:t>
      </w:r>
    </w:p>
    <w:p w14:paraId="00000079">
      <w:pPr>
        <w:rPr>
          <w:sz w:val="20"/>
          <w:szCs w:val="20"/>
        </w:rPr>
      </w:pPr>
      <w:r>
        <w:rPr>
          <w:sz w:val="20"/>
          <w:szCs w:val="20"/>
        </w:rPr>
        <w:t>(1) Sözleşmede yer alan aşağıdaki sözcük ve terimler yanlarında gösterilen anlamı taşıyacaklardır.</w:t>
      </w:r>
    </w:p>
    <w:p w14:paraId="0000007A">
      <w:pPr>
        <w:rPr>
          <w:sz w:val="20"/>
          <w:szCs w:val="20"/>
        </w:rPr>
      </w:pPr>
      <w:r>
        <w:rPr>
          <w:b/>
          <w:sz w:val="20"/>
          <w:szCs w:val="20"/>
        </w:rPr>
        <w:t>İdari emir/talimat:</w:t>
      </w:r>
      <w:r>
        <w:rPr>
          <w:sz w:val="20"/>
          <w:szCs w:val="20"/>
        </w:rPr>
        <w:t xml:space="preserve"> (Sözleşmeye konu işin yürütülmesiyle ilgili olarak) Proje Yöneticisi tarafından Yükleniciye verilen her türlü talimat veya emir.</w:t>
      </w:r>
    </w:p>
    <w:p w14:paraId="0000007B">
      <w:pPr>
        <w:rPr>
          <w:sz w:val="20"/>
          <w:szCs w:val="20"/>
        </w:rPr>
      </w:pPr>
      <w:r>
        <w:rPr>
          <w:b/>
          <w:sz w:val="20"/>
          <w:szCs w:val="20"/>
        </w:rPr>
        <w:t xml:space="preserve">Yüklenici: </w:t>
      </w:r>
      <w:r>
        <w:rPr>
          <w:sz w:val="20"/>
          <w:szCs w:val="20"/>
        </w:rPr>
        <w:t>Sözleşme konusu işleri yerine getirmeyi bir sözleşme altında taahhüt eden taraf.</w:t>
      </w:r>
    </w:p>
    <w:p w14:paraId="0000007C">
      <w:pPr>
        <w:rPr>
          <w:sz w:val="20"/>
          <w:szCs w:val="20"/>
        </w:rPr>
      </w:pPr>
      <w:r>
        <w:rPr>
          <w:b/>
          <w:sz w:val="20"/>
          <w:szCs w:val="20"/>
        </w:rPr>
        <w:t>Sözleşme:</w:t>
      </w:r>
      <w:r>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0000007D">
      <w:pPr>
        <w:rPr>
          <w:sz w:val="20"/>
          <w:szCs w:val="20"/>
        </w:rPr>
      </w:pPr>
      <w:r>
        <w:rPr>
          <w:b/>
          <w:sz w:val="20"/>
          <w:szCs w:val="20"/>
        </w:rPr>
        <w:t xml:space="preserve">Sözleşme Makamı: </w:t>
      </w:r>
      <w:r>
        <w:rPr>
          <w:sz w:val="20"/>
          <w:szCs w:val="20"/>
        </w:rPr>
        <w:t>Yüklenici ile sözleşmeyi bizzat bağıtlayan ya da sözleşmenin kendi adına bağıtlandığı kamu hukukuna veya özel hukuka tabi gerçek ya da tüzel kişilik.</w:t>
      </w:r>
    </w:p>
    <w:p w14:paraId="0000007E">
      <w:pPr>
        <w:rPr>
          <w:sz w:val="20"/>
          <w:szCs w:val="20"/>
        </w:rPr>
      </w:pPr>
      <w:r>
        <w:rPr>
          <w:b/>
          <w:sz w:val="20"/>
          <w:szCs w:val="20"/>
        </w:rPr>
        <w:t xml:space="preserve">Sözleşme bedeli: </w:t>
      </w:r>
      <w:r>
        <w:rPr>
          <w:sz w:val="20"/>
          <w:szCs w:val="20"/>
        </w:rPr>
        <w:t>Özel Koşulların 3. Maddesinde belirtilen tutar.</w:t>
      </w:r>
    </w:p>
    <w:p w14:paraId="0000007F">
      <w:pPr>
        <w:rPr>
          <w:sz w:val="20"/>
          <w:szCs w:val="20"/>
        </w:rPr>
      </w:pPr>
      <w:r>
        <w:rPr>
          <w:b/>
          <w:sz w:val="20"/>
          <w:szCs w:val="20"/>
        </w:rPr>
        <w:t xml:space="preserve">Ay/Gün: </w:t>
      </w:r>
      <w:r>
        <w:rPr>
          <w:sz w:val="20"/>
          <w:szCs w:val="20"/>
        </w:rPr>
        <w:t>takvim ayı/günü.</w:t>
      </w:r>
    </w:p>
    <w:p w14:paraId="00000080">
      <w:pPr>
        <w:rPr>
          <w:b/>
          <w:sz w:val="20"/>
          <w:szCs w:val="20"/>
        </w:rPr>
      </w:pPr>
      <w:r>
        <w:rPr>
          <w:b/>
          <w:sz w:val="20"/>
          <w:szCs w:val="20"/>
        </w:rPr>
        <w:t xml:space="preserve">Genel zarar-ziyan bedeli: </w:t>
      </w:r>
      <w:r>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Pr>
          <w:b/>
          <w:sz w:val="20"/>
          <w:szCs w:val="20"/>
        </w:rPr>
        <w:t xml:space="preserve"> </w:t>
      </w:r>
    </w:p>
    <w:p w14:paraId="00000081">
      <w:pPr>
        <w:rPr>
          <w:sz w:val="20"/>
          <w:szCs w:val="20"/>
        </w:rPr>
      </w:pPr>
      <w:r>
        <w:rPr>
          <w:b/>
          <w:sz w:val="20"/>
          <w:szCs w:val="20"/>
        </w:rPr>
        <w:t xml:space="preserve">Maktu zarar-ziyan bedeli: </w:t>
      </w:r>
      <w:r>
        <w:rPr>
          <w:sz w:val="20"/>
          <w:szCs w:val="20"/>
        </w:rPr>
        <w:t>Sözleşmenin tamamının veya bir kısmının yerine getirilmemesi halinde zarar gören tarafa diğer tarafça ödenmek üzere sözleşmede belirtilen tazminat.</w:t>
      </w:r>
    </w:p>
    <w:p w14:paraId="00000082">
      <w:pPr>
        <w:rPr>
          <w:sz w:val="20"/>
          <w:szCs w:val="20"/>
        </w:rPr>
      </w:pPr>
      <w:r>
        <w:rPr>
          <w:b/>
          <w:sz w:val="20"/>
          <w:szCs w:val="20"/>
        </w:rPr>
        <w:t xml:space="preserve">Proje: </w:t>
      </w:r>
      <w:r>
        <w:rPr>
          <w:sz w:val="20"/>
          <w:szCs w:val="20"/>
        </w:rPr>
        <w:t>Sözleşmeye konu işin yerine getirilmesiyle ilgili bulunan proje.</w:t>
      </w:r>
    </w:p>
    <w:p w14:paraId="00000083">
      <w:pPr>
        <w:rPr>
          <w:sz w:val="20"/>
          <w:szCs w:val="20"/>
        </w:rPr>
      </w:pPr>
      <w:r>
        <w:rPr>
          <w:b/>
          <w:sz w:val="20"/>
          <w:szCs w:val="20"/>
        </w:rPr>
        <w:t xml:space="preserve">Proje Yöneticisi: </w:t>
      </w:r>
      <w:r>
        <w:rPr>
          <w:sz w:val="20"/>
          <w:szCs w:val="20"/>
        </w:rPr>
        <w:t>Sözleşmenin uygulanmasını Sözleşme Makamı adına izlemekle sorumlu gerçek / tüzel kişi.</w:t>
      </w:r>
    </w:p>
    <w:p w14:paraId="00000084">
      <w:pPr>
        <w:rPr>
          <w:sz w:val="20"/>
          <w:szCs w:val="20"/>
        </w:rPr>
      </w:pPr>
      <w:r>
        <w:rPr>
          <w:b/>
          <w:sz w:val="20"/>
          <w:szCs w:val="20"/>
        </w:rPr>
        <w:t xml:space="preserve">Sözleşme konusu iş: </w:t>
      </w:r>
      <w:r>
        <w:rPr>
          <w:sz w:val="20"/>
          <w:szCs w:val="20"/>
        </w:rPr>
        <w:t>Yüklenici tarafından Sözleşme altında yerine getirilecek mal temini, hizmet ve yapım işleri ile ilgili faaliyetler.</w:t>
      </w:r>
    </w:p>
    <w:p w14:paraId="00000085">
      <w:pPr>
        <w:rPr>
          <w:sz w:val="20"/>
          <w:szCs w:val="20"/>
        </w:rPr>
      </w:pPr>
      <w:r>
        <w:rPr>
          <w:b/>
          <w:sz w:val="20"/>
          <w:szCs w:val="20"/>
        </w:rPr>
        <w:t>İş tanımı (Teknik Şartname):</w:t>
      </w:r>
      <w:r>
        <w:rPr>
          <w:sz w:val="20"/>
          <w:szCs w:val="20"/>
        </w:rPr>
        <w:t xml:space="preserve"> Sözleşme</w:t>
      </w:r>
      <w:r>
        <w:rPr>
          <w:b/>
          <w:sz w:val="20"/>
          <w:szCs w:val="20"/>
        </w:rPr>
        <w:t xml:space="preserve"> </w:t>
      </w:r>
      <w:r>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00000086">
      <w:pPr>
        <w:rPr>
          <w:sz w:val="20"/>
          <w:szCs w:val="20"/>
        </w:rPr>
      </w:pPr>
      <w:r>
        <w:rPr>
          <w:sz w:val="20"/>
          <w:szCs w:val="20"/>
        </w:rPr>
        <w:t>(2) Sözleşmedeki sürelerde son günün tatil gününe rastlaması halinde, süre takip eden işgününe kadar uzar.</w:t>
      </w:r>
    </w:p>
    <w:p w14:paraId="00000087">
      <w:pPr>
        <w:rPr>
          <w:sz w:val="20"/>
          <w:szCs w:val="20"/>
        </w:rPr>
      </w:pPr>
      <w:r>
        <w:rPr>
          <w:sz w:val="20"/>
          <w:szCs w:val="20"/>
        </w:rPr>
        <w:t xml:space="preserve">(3) Metnin içeriğinin ve bağlamının imkân verdiği durumlarda tekil sözcüklerin çoğul anlamı, çoğul sözcüklerin de tekil anlamı kapsadığı addedilecektir. </w:t>
      </w:r>
    </w:p>
    <w:p w14:paraId="00000088">
      <w:pPr>
        <w:rPr>
          <w:sz w:val="20"/>
          <w:szCs w:val="20"/>
        </w:rPr>
      </w:pPr>
      <w:r>
        <w:rPr>
          <w:sz w:val="20"/>
          <w:szCs w:val="20"/>
        </w:rPr>
        <w:t>(4) Kişileri veya tarafları belirten sözcüklerin firmaları, şirketleri ve tüzel kişiliğe sahip bütün kuruluşları içerdiği addedilecektir.</w:t>
      </w:r>
    </w:p>
    <w:p w14:paraId="00000089">
      <w:pPr>
        <w:numPr>
          <w:ilvl w:val="0"/>
          <w:numId w:val="10"/>
        </w:numPr>
        <w:spacing w:before="120" w:beforeAutospacing="0" w:after="0" w:afterAutospacing="0" w:line="240" w:lineRule="auto"/>
        <w:jc w:val="both"/>
        <w:rPr>
          <w:b/>
          <w:sz w:val="20"/>
          <w:szCs w:val="20"/>
        </w:rPr>
      </w:pPr>
      <w:r>
        <w:rPr>
          <w:b/>
          <w:sz w:val="20"/>
          <w:szCs w:val="20"/>
        </w:rPr>
        <w:t>Bildirimler ve yazılı haberleşmeler</w:t>
      </w:r>
    </w:p>
    <w:p w14:paraId="0000008A">
      <w:pPr>
        <w:rPr>
          <w:sz w:val="20"/>
          <w:szCs w:val="20"/>
        </w:rPr>
      </w:pPr>
      <w:r>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0000008B">
      <w:pPr>
        <w:rPr>
          <w:sz w:val="20"/>
          <w:szCs w:val="20"/>
        </w:rPr>
      </w:pPr>
      <w:r>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0000008C">
      <w:pPr>
        <w:rPr>
          <w:sz w:val="20"/>
          <w:szCs w:val="20"/>
        </w:rPr>
      </w:pPr>
    </w:p>
    <w:p w14:paraId="0000008D">
      <w:pPr>
        <w:numPr>
          <w:ilvl w:val="0"/>
          <w:numId w:val="10"/>
        </w:numPr>
        <w:spacing w:before="120" w:beforeAutospacing="0" w:after="0" w:afterAutospacing="0" w:line="240" w:lineRule="auto"/>
        <w:jc w:val="both"/>
        <w:rPr>
          <w:sz w:val="20"/>
          <w:szCs w:val="20"/>
          <w:u w:val="single"/>
        </w:rPr>
      </w:pPr>
      <w:r>
        <w:rPr>
          <w:b/>
          <w:sz w:val="20"/>
          <w:szCs w:val="20"/>
        </w:rPr>
        <w:t>Sözleşmeye davet</w:t>
      </w:r>
      <w:r>
        <w:rPr>
          <w:b/>
          <w:sz w:val="20"/>
          <w:szCs w:val="20"/>
        </w:rPr>
        <w:tab/>
      </w:r>
    </w:p>
    <w:p w14:paraId="0000008E">
      <w:pPr>
        <w:pStyle w:val="BodyTextIndent3"/>
        <w:ind w:left="0" w:firstLine="0"/>
        <w:rPr>
          <w:sz w:val="20"/>
          <w:szCs w:val="20"/>
          <w:lang w:val="tr-TR"/>
        </w:rPr>
      </w:pPr>
      <w:r>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0000008F">
      <w:pPr>
        <w:tabs>
          <w:tab w:val="left" w:pos="0"/>
        </w:tabs>
        <w:ind w:right="-356"/>
        <w:rPr>
          <w:sz w:val="20"/>
          <w:szCs w:val="20"/>
        </w:rPr>
      </w:pPr>
      <w:r>
        <w:rPr>
          <w:sz w:val="20"/>
          <w:szCs w:val="20"/>
        </w:rPr>
        <w:t>(2) İsteklinin, bu davetin tebliğ tarihini izleyen beş (5) gün içinde kesin teminatı vererek (kesin teminat istenen işlerde) sözleşmeyi imzalaması şarttır.</w:t>
      </w:r>
    </w:p>
    <w:p w14:paraId="00000090">
      <w:pPr>
        <w:numPr>
          <w:ilvl w:val="0"/>
          <w:numId w:val="10"/>
        </w:numPr>
        <w:spacing w:before="120" w:beforeAutospacing="0" w:after="0" w:afterAutospacing="0" w:line="240" w:lineRule="auto"/>
        <w:jc w:val="both"/>
        <w:rPr>
          <w:b/>
          <w:sz w:val="20"/>
          <w:szCs w:val="20"/>
        </w:rPr>
      </w:pPr>
      <w:r>
        <w:rPr>
          <w:b/>
          <w:sz w:val="20"/>
          <w:szCs w:val="20"/>
        </w:rPr>
        <w:t>İhalenin sözleşmeye bağlanması</w:t>
      </w:r>
    </w:p>
    <w:p w14:paraId="00000091">
      <w:pPr>
        <w:pStyle w:val="BodyText2"/>
        <w:tabs>
          <w:tab w:val="left" w:pos="0"/>
        </w:tabs>
        <w:spacing w:beforeAutospacing="0" w:afterAutospacing="0" w:line="240" w:lineRule="auto"/>
        <w:rPr>
          <w:rFonts w:ascii="Times New Roman" w:hAnsi="Times New Roman"/>
          <w:sz w:val="20"/>
        </w:rPr>
      </w:pPr>
      <w:r>
        <w:rPr>
          <w:rFonts w:ascii="Times New Roman" w:hAnsi="Times New Roman"/>
          <w:sz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14:paraId="00000092">
      <w:pPr>
        <w:numPr>
          <w:ilvl w:val="0"/>
          <w:numId w:val="10"/>
        </w:numPr>
        <w:spacing w:before="120" w:beforeAutospacing="0" w:after="0" w:afterAutospacing="0" w:line="240" w:lineRule="auto"/>
        <w:jc w:val="both"/>
        <w:rPr>
          <w:b/>
          <w:sz w:val="20"/>
          <w:szCs w:val="20"/>
        </w:rPr>
      </w:pPr>
      <w:r>
        <w:rPr>
          <w:b/>
          <w:sz w:val="20"/>
          <w:szCs w:val="20"/>
        </w:rPr>
        <w:t>Sözleşme yapılmasında isteklinin görev ve sorumluluğu</w:t>
      </w:r>
    </w:p>
    <w:p w14:paraId="00000093">
      <w:pPr>
        <w:pStyle w:val="BodyText2"/>
        <w:tabs>
          <w:tab w:val="left" w:pos="0"/>
        </w:tabs>
        <w:spacing w:beforeAutospacing="0" w:afterAutospacing="0" w:line="240" w:lineRule="auto"/>
        <w:rPr>
          <w:rFonts w:ascii="Times New Roman" w:hAnsi="Times New Roman"/>
          <w:sz w:val="20"/>
        </w:rPr>
      </w:pPr>
      <w:r>
        <w:rPr>
          <w:rFonts w:ascii="Times New Roman" w:hAnsi="Times New Roman"/>
          <w:sz w:val="20"/>
        </w:rPr>
        <w:t>(1</w:t>
      </w:r>
      <w:r>
        <w:rPr>
          <w:sz w:val="20"/>
        </w:rPr>
        <w:t xml:space="preserve">) </w:t>
      </w:r>
      <w:r>
        <w:rPr>
          <w:rFonts w:ascii="Times New Roman" w:hAnsi="Times New Roman"/>
          <w:sz w:val="20"/>
        </w:rPr>
        <w:t>İhale üzerinde kalan istekli, ihale tarihi itibarıyla İsteklilere Talimatların 9 uncu maddesinin (a), (b), (c), (d), (e) ve (g) bentlerinde sayılan durumlarda olmadığına dair belgeleri ve kesin teminatı süre</w:t>
      </w:r>
      <w:r>
        <w:rPr>
          <w:sz w:val="20"/>
        </w:rPr>
        <w:t>si</w:t>
      </w:r>
      <w:r>
        <w:rPr>
          <w:rFonts w:ascii="Times New Roman" w:hAnsi="Times New Roman"/>
          <w:sz w:val="20"/>
        </w:rPr>
        <w:t xml:space="preserve"> içinde vererek sözleşmeyi imzalamak zorundadır. Sözleşme imzalandıktan hemen sonra geçici teminat iade edilecektir.</w:t>
      </w:r>
    </w:p>
    <w:p w14:paraId="00000094">
      <w:pPr>
        <w:pStyle w:val="BodyText2"/>
        <w:tabs>
          <w:tab w:val="left" w:pos="0"/>
        </w:tabs>
        <w:spacing w:beforeAutospacing="0" w:afterAutospacing="0" w:line="240" w:lineRule="auto"/>
        <w:rPr>
          <w:rFonts w:ascii="Times New Roman" w:hAnsi="Times New Roman"/>
          <w:sz w:val="20"/>
        </w:rPr>
      </w:pPr>
      <w:r>
        <w:rPr>
          <w:rFonts w:ascii="Times New Roman" w:hAnsi="Times New Roman"/>
          <w:sz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00000095">
      <w:pPr>
        <w:tabs>
          <w:tab w:val="left" w:pos="567"/>
        </w:tabs>
        <w:rPr>
          <w:sz w:val="20"/>
          <w:szCs w:val="20"/>
        </w:rPr>
      </w:pPr>
      <w:r>
        <w:rPr>
          <w:sz w:val="20"/>
          <w:szCs w:val="20"/>
        </w:rPr>
        <w:t>(3) Bu zorunluluklara uyulmadığı takdirde, protesto çekmeye ve hüküm almaya gerek kalmaksızın ihale üzerinde kalan isteklinin geçici teminatı gelir kaydedilir ve ihale kararı iptal edilir.</w:t>
      </w:r>
    </w:p>
    <w:p w14:paraId="00000096">
      <w:pPr>
        <w:tabs>
          <w:tab w:val="left" w:pos="567"/>
        </w:tabs>
        <w:rPr>
          <w:sz w:val="20"/>
          <w:szCs w:val="20"/>
        </w:rPr>
      </w:pPr>
      <w:r>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00000097">
      <w:pPr>
        <w:tabs>
          <w:tab w:val="left" w:pos="567"/>
        </w:tabs>
        <w:rPr>
          <w:sz w:val="20"/>
          <w:szCs w:val="20"/>
        </w:rPr>
      </w:pPr>
      <w:r>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r>
        <w:rPr>
          <w:sz w:val="20"/>
          <w:szCs w:val="20"/>
        </w:rPr>
        <w:t>ekipman</w:t>
      </w:r>
      <w:r>
        <w:rPr>
          <w:sz w:val="20"/>
          <w:szCs w:val="20"/>
        </w:rPr>
        <w:t xml:space="preserve"> vb. temin edecektir.</w:t>
      </w:r>
    </w:p>
    <w:p w14:paraId="00000098">
      <w:pPr>
        <w:tabs>
          <w:tab w:val="left" w:pos="567"/>
        </w:tabs>
        <w:rPr>
          <w:sz w:val="20"/>
          <w:szCs w:val="20"/>
        </w:rPr>
      </w:pPr>
      <w:r>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00000099">
      <w:pPr>
        <w:numPr>
          <w:ilvl w:val="0"/>
          <w:numId w:val="10"/>
        </w:numPr>
        <w:spacing w:before="120" w:beforeAutospacing="0" w:after="0" w:afterAutospacing="0" w:line="240" w:lineRule="auto"/>
        <w:jc w:val="both"/>
        <w:rPr>
          <w:b/>
          <w:sz w:val="20"/>
          <w:szCs w:val="20"/>
        </w:rPr>
      </w:pPr>
      <w:r>
        <w:rPr>
          <w:b/>
          <w:sz w:val="20"/>
          <w:szCs w:val="20"/>
        </w:rPr>
        <w:t>Sözleşme yapılmasında Sözleşme Makamının görev ve sorumluluğu</w:t>
      </w:r>
      <w:r>
        <w:rPr>
          <w:b/>
          <w:sz w:val="20"/>
          <w:szCs w:val="20"/>
        </w:rPr>
        <w:tab/>
      </w:r>
    </w:p>
    <w:p w14:paraId="0000009A">
      <w:pPr>
        <w:pStyle w:val="BodyText2"/>
        <w:tabs>
          <w:tab w:val="left" w:pos="0"/>
        </w:tabs>
        <w:spacing w:beforeAutospacing="0" w:afterAutospacing="0" w:line="240" w:lineRule="auto"/>
        <w:rPr>
          <w:rFonts w:ascii="Times New Roman" w:hAnsi="Times New Roman"/>
          <w:sz w:val="20"/>
        </w:rPr>
      </w:pPr>
      <w:r>
        <w:rPr>
          <w:rFonts w:ascii="Times New Roman" w:hAnsi="Times New Roman"/>
          <w:sz w:val="20"/>
        </w:rPr>
        <w:t xml:space="preserve">(1)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w:t>
      </w:r>
      <w:r>
        <w:rPr>
          <w:rFonts w:ascii="Times New Roman" w:hAnsi="Times New Roman"/>
          <w:sz w:val="20"/>
        </w:rPr>
        <w:t>Karacadağ Kalkınma Ajansı</w:t>
      </w:r>
      <w:r>
        <w:rPr>
          <w:rFonts w:ascii="Times New Roman" w:hAnsi="Times New Roman"/>
          <w:sz w:val="20"/>
        </w:rPr>
        <w:t>na bildirmek şartıyla, taahhüdünden vazgeçebilir.</w:t>
      </w:r>
    </w:p>
    <w:p w14:paraId="0000009B">
      <w:pPr>
        <w:tabs>
          <w:tab w:val="left" w:pos="0"/>
        </w:tabs>
        <w:rPr>
          <w:sz w:val="20"/>
          <w:szCs w:val="20"/>
        </w:rPr>
      </w:pPr>
      <w:r>
        <w:rPr>
          <w:sz w:val="20"/>
          <w:szCs w:val="20"/>
        </w:rPr>
        <w:t>(2) Bu takdirde geçici teminatı geri verilir.</w:t>
      </w:r>
    </w:p>
    <w:p w14:paraId="0000009C">
      <w:pPr>
        <w:numPr>
          <w:ilvl w:val="0"/>
          <w:numId w:val="10"/>
        </w:numPr>
        <w:spacing w:before="120" w:beforeAutospacing="0" w:after="0" w:afterAutospacing="0" w:line="240" w:lineRule="auto"/>
        <w:jc w:val="both"/>
        <w:rPr>
          <w:b/>
          <w:sz w:val="20"/>
          <w:szCs w:val="20"/>
        </w:rPr>
      </w:pPr>
      <w:r>
        <w:rPr>
          <w:b/>
          <w:sz w:val="20"/>
          <w:szCs w:val="20"/>
        </w:rPr>
        <w:t>Sözleşmenin Devri, Alt Sözleşme</w:t>
      </w:r>
    </w:p>
    <w:p w14:paraId="0000009D">
      <w:pPr>
        <w:rPr>
          <w:sz w:val="20"/>
          <w:szCs w:val="20"/>
        </w:rPr>
      </w:pPr>
      <w:r>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p>
    <w:p w14:paraId="0000009E">
      <w:pPr>
        <w:jc w:val="center"/>
        <w:rPr>
          <w:b/>
          <w:sz w:val="20"/>
          <w:szCs w:val="20"/>
        </w:rPr>
      </w:pPr>
      <w:r>
        <w:rPr>
          <w:b/>
          <w:sz w:val="20"/>
          <w:szCs w:val="20"/>
        </w:rPr>
        <w:t>SÖZLEŞME MAKAMININ YÜKÜMLÜLÜKLERİ</w:t>
      </w:r>
    </w:p>
    <w:p w14:paraId="0000009F">
      <w:pPr>
        <w:numPr>
          <w:ilvl w:val="0"/>
          <w:numId w:val="10"/>
        </w:numPr>
        <w:spacing w:before="120" w:beforeAutospacing="0" w:after="0" w:afterAutospacing="0" w:line="240" w:lineRule="auto"/>
        <w:jc w:val="both"/>
        <w:rPr>
          <w:b/>
          <w:sz w:val="20"/>
          <w:szCs w:val="20"/>
        </w:rPr>
      </w:pPr>
      <w:r>
        <w:rPr>
          <w:b/>
          <w:sz w:val="20"/>
          <w:szCs w:val="20"/>
        </w:rPr>
        <w:t>Bilgi/doküman temini</w:t>
      </w:r>
    </w:p>
    <w:p w14:paraId="000000A0">
      <w:pPr>
        <w:tabs>
          <w:tab w:val="left" w:pos="0"/>
        </w:tabs>
        <w:rPr>
          <w:sz w:val="20"/>
          <w:szCs w:val="20"/>
        </w:rPr>
      </w:pPr>
      <w:r>
        <w:rPr>
          <w:sz w:val="20"/>
          <w:szCs w:val="20"/>
        </w:rPr>
        <w:t xml:space="preserve">(1) Sözleşme Makamı sözleşmenin yürütülmesiyle ilgili olabilecek her türlü bilgi ve/veya dokümanı derhal Yükleniciye temin edecektir. Bu dokümanlar sözleşmenin sonunda Sözleşme </w:t>
      </w:r>
      <w:r>
        <w:rPr>
          <w:sz w:val="20"/>
          <w:szCs w:val="20"/>
        </w:rPr>
        <w:t>Makamı’na</w:t>
      </w:r>
      <w:r>
        <w:rPr>
          <w:sz w:val="20"/>
          <w:szCs w:val="20"/>
        </w:rPr>
        <w:t xml:space="preserve"> iade edilecektir.</w:t>
      </w:r>
    </w:p>
    <w:p w14:paraId="000000A1">
      <w:pPr>
        <w:tabs>
          <w:tab w:val="left" w:pos="0"/>
        </w:tabs>
        <w:rPr>
          <w:sz w:val="20"/>
          <w:szCs w:val="20"/>
        </w:rPr>
      </w:pPr>
      <w:r>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14:paraId="000000A2">
      <w:pPr>
        <w:tabs>
          <w:tab w:val="left" w:pos="0"/>
        </w:tabs>
        <w:rPr>
          <w:sz w:val="20"/>
          <w:szCs w:val="20"/>
        </w:rPr>
      </w:pPr>
      <w:r>
        <w:rPr>
          <w:sz w:val="20"/>
          <w:szCs w:val="20"/>
        </w:rPr>
        <w:t>(3) Sözleşme Makamı, sözleşmenin şaibeden uzak, etkin ve saydam işleyebilmesi için gerekli her türlü belgenin temin edilmesini istemeye yetkilidir ve aynı zamanda gerekli girişimlerde bulunmakla yükümlüdür.</w:t>
      </w:r>
    </w:p>
    <w:p w14:paraId="000000A3">
      <w:pPr>
        <w:rPr>
          <w:sz w:val="20"/>
          <w:szCs w:val="20"/>
        </w:rPr>
      </w:pPr>
    </w:p>
    <w:p w14:paraId="000000A4">
      <w:pPr>
        <w:ind w:left="702" w:hanging="645"/>
        <w:jc w:val="center"/>
        <w:rPr>
          <w:b/>
          <w:sz w:val="20"/>
          <w:szCs w:val="20"/>
        </w:rPr>
      </w:pPr>
      <w:r>
        <w:rPr>
          <w:b/>
          <w:sz w:val="20"/>
          <w:szCs w:val="20"/>
        </w:rPr>
        <w:t>YÜKLENİCİNİN YÜKÜMLÜLÜKLERİ</w:t>
      </w:r>
    </w:p>
    <w:p w14:paraId="000000A5">
      <w:pPr>
        <w:numPr>
          <w:ilvl w:val="0"/>
          <w:numId w:val="10"/>
        </w:numPr>
        <w:spacing w:before="120" w:beforeAutospacing="0" w:after="0" w:afterAutospacing="0" w:line="240" w:lineRule="auto"/>
        <w:jc w:val="both"/>
        <w:rPr>
          <w:b/>
          <w:sz w:val="20"/>
          <w:szCs w:val="20"/>
        </w:rPr>
      </w:pPr>
      <w:r>
        <w:rPr>
          <w:b/>
          <w:sz w:val="20"/>
          <w:szCs w:val="20"/>
        </w:rPr>
        <w:t>Genel yükümlülükler</w:t>
      </w:r>
    </w:p>
    <w:p w14:paraId="000000A6">
      <w:pPr>
        <w:tabs>
          <w:tab w:val="left" w:pos="0"/>
        </w:tabs>
        <w:rPr>
          <w:sz w:val="20"/>
          <w:szCs w:val="20"/>
        </w:rPr>
      </w:pPr>
      <w:r>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000000A7">
      <w:pPr>
        <w:tabs>
          <w:tab w:val="left" w:pos="0"/>
        </w:tabs>
        <w:rPr>
          <w:sz w:val="20"/>
          <w:szCs w:val="20"/>
        </w:rPr>
      </w:pPr>
      <w:r>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r>
        <w:rPr>
          <w:sz w:val="20"/>
          <w:szCs w:val="20"/>
        </w:rPr>
        <w:t>Makamı’nın</w:t>
      </w:r>
      <w:r>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14:paraId="000000A8">
      <w:pPr>
        <w:tabs>
          <w:tab w:val="left" w:pos="0"/>
        </w:tabs>
        <w:rPr>
          <w:sz w:val="20"/>
          <w:szCs w:val="20"/>
        </w:rPr>
      </w:pPr>
      <w:r>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r>
        <w:rPr>
          <w:sz w:val="20"/>
          <w:szCs w:val="20"/>
        </w:rPr>
        <w:t>Makamı’nın</w:t>
      </w:r>
      <w:r>
        <w:rPr>
          <w:sz w:val="20"/>
          <w:szCs w:val="20"/>
        </w:rPr>
        <w:t xml:space="preserve"> zarar görmeyeceğine peşinen kefil olacaktır. </w:t>
      </w:r>
    </w:p>
    <w:p w14:paraId="000000A9">
      <w:pPr>
        <w:rPr>
          <w:sz w:val="20"/>
          <w:szCs w:val="20"/>
        </w:rPr>
      </w:pPr>
      <w:r>
        <w:rPr>
          <w:sz w:val="20"/>
          <w:szCs w:val="20"/>
        </w:rPr>
        <w:t>(4) Yüklenici sözleşmeye konu işi azami özen, dikkat ve ihtimamı göstererek ve en iyi mesleki uygulamalara ve teamüllere riayet ederek gerçekleştirecektir.</w:t>
      </w:r>
    </w:p>
    <w:p w14:paraId="000000AA">
      <w:pPr>
        <w:tabs>
          <w:tab w:val="left" w:pos="0"/>
        </w:tabs>
        <w:rPr>
          <w:rFonts w:cs="Arial"/>
          <w:sz w:val="20"/>
          <w:szCs w:val="20"/>
        </w:rPr>
      </w:pPr>
      <w:r>
        <w:rPr>
          <w:sz w:val="20"/>
          <w:szCs w:val="20"/>
        </w:rPr>
        <w:t xml:space="preserve">(5) Yapım işlerinde geçerli olmak üzere, sözleşmeye konu işin </w:t>
      </w:r>
      <w:r>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r>
        <w:rPr>
          <w:rFonts w:cs="Arial"/>
          <w:sz w:val="20"/>
          <w:szCs w:val="20"/>
        </w:rPr>
        <w:t xml:space="preserve">Engelin şiddetine göre taraflar gerekli tedbirleri gecikmeksizin almak, değişikliği yapmak veya sözleşmenin feshine gitmek hususunda karara varırlar. </w:t>
      </w:r>
    </w:p>
    <w:p w14:paraId="000000AB">
      <w:pPr>
        <w:tabs>
          <w:tab w:val="left" w:pos="0"/>
        </w:tabs>
        <w:rPr>
          <w:sz w:val="20"/>
          <w:szCs w:val="20"/>
        </w:rPr>
      </w:pPr>
      <w:r>
        <w:rPr>
          <w:rFonts w:cs="Arial"/>
          <w:sz w:val="20"/>
          <w:szCs w:val="20"/>
        </w:rPr>
        <w:t xml:space="preserve">(6) </w:t>
      </w:r>
      <w:r>
        <w:rPr>
          <w:sz w:val="20"/>
          <w:szCs w:val="20"/>
        </w:rPr>
        <w:t>Verilen teklifin Sözleşmeye konu iş için gereken tüm standart araştırmaların yapılarak verildiği kabul edilir.</w:t>
      </w:r>
    </w:p>
    <w:p w14:paraId="000000AC">
      <w:pPr>
        <w:tabs>
          <w:tab w:val="left" w:pos="0"/>
        </w:tabs>
        <w:rPr>
          <w:sz w:val="20"/>
          <w:szCs w:val="20"/>
        </w:rPr>
      </w:pPr>
      <w:r>
        <w:rPr>
          <w:sz w:val="20"/>
          <w:szCs w:val="20"/>
        </w:rPr>
        <w:t xml:space="preserve">(7) Yüklenici, Proje </w:t>
      </w:r>
      <w:r>
        <w:rPr>
          <w:sz w:val="20"/>
          <w:szCs w:val="20"/>
        </w:rPr>
        <w:t>Yöneticisi’nin</w:t>
      </w:r>
      <w:r>
        <w:rPr>
          <w:sz w:val="20"/>
          <w:szCs w:val="20"/>
        </w:rPr>
        <w:t xml:space="preserve"> sözleşmeye konu işin mevzuata ve sözleşme kurallarına uygun olarak yürütüldüğünü tespit edebilmesi ve gereken idari emirleri verebilmesi için Sözleşme </w:t>
      </w:r>
      <w:r>
        <w:rPr>
          <w:sz w:val="20"/>
          <w:szCs w:val="20"/>
        </w:rPr>
        <w:t>Makamı’nın</w:t>
      </w:r>
      <w:r>
        <w:rPr>
          <w:sz w:val="20"/>
          <w:szCs w:val="20"/>
        </w:rPr>
        <w:t xml:space="preserve"> veya temsilcisinin iş mahalline girişini sağlamakla ve iş mahallinin güvenliğini sağlamakla mükelleftir.</w:t>
      </w:r>
    </w:p>
    <w:p w14:paraId="000000AD">
      <w:pPr>
        <w:tabs>
          <w:tab w:val="left" w:pos="0"/>
        </w:tabs>
        <w:rPr>
          <w:sz w:val="20"/>
          <w:szCs w:val="20"/>
        </w:rPr>
      </w:pPr>
      <w:r>
        <w:rPr>
          <w:sz w:val="20"/>
          <w:szCs w:val="20"/>
        </w:rPr>
        <w:t xml:space="preserve">(8) Eğer Yüklenici verilen idari talimatın içerdiği şartların Proje </w:t>
      </w:r>
      <w:r>
        <w:rPr>
          <w:sz w:val="20"/>
          <w:szCs w:val="20"/>
        </w:rPr>
        <w:t>Yöneticisi’nin</w:t>
      </w:r>
      <w:r>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r>
        <w:rPr>
          <w:sz w:val="20"/>
          <w:szCs w:val="20"/>
        </w:rPr>
        <w:t>Yöneticisi’ne</w:t>
      </w:r>
      <w:r>
        <w:rPr>
          <w:sz w:val="20"/>
          <w:szCs w:val="20"/>
        </w:rPr>
        <w:t xml:space="preserve"> bildirecektir. İdari talimatın yerine getirilmesi bu bildirim münasebetiyle askıya alınmayacaktır. </w:t>
      </w:r>
    </w:p>
    <w:p w14:paraId="000000AE">
      <w:pPr>
        <w:tabs>
          <w:tab w:val="left" w:pos="0"/>
        </w:tabs>
        <w:rPr>
          <w:sz w:val="20"/>
          <w:szCs w:val="20"/>
        </w:rPr>
      </w:pPr>
      <w:r>
        <w:rPr>
          <w:sz w:val="20"/>
          <w:szCs w:val="20"/>
        </w:rPr>
        <w:t xml:space="preserve">(9) Şayet Yüklenici iki veya daha fazla kişinin oluşturduğu bir </w:t>
      </w:r>
      <w:r>
        <w:rPr>
          <w:sz w:val="20"/>
          <w:szCs w:val="20"/>
        </w:rPr>
        <w:t>konsorsiyum</w:t>
      </w:r>
      <w:r>
        <w:rPr>
          <w:sz w:val="20"/>
          <w:szCs w:val="20"/>
        </w:rPr>
        <w:t xml:space="preserve"> ya da ortak girişimden oluşuyorsa, bu kişilerin tümü sözleşme hükümlerini yerine getirmekten müştereken ve </w:t>
      </w:r>
      <w:r>
        <w:rPr>
          <w:sz w:val="20"/>
          <w:szCs w:val="20"/>
        </w:rPr>
        <w:t>müteselsilen</w:t>
      </w:r>
      <w:r>
        <w:rPr>
          <w:sz w:val="20"/>
          <w:szCs w:val="20"/>
        </w:rPr>
        <w:t xml:space="preserve"> sorumlu olacaklardır. Bu sözleşmede öngörülen amaçlar çerçevesinde </w:t>
      </w:r>
      <w:r>
        <w:rPr>
          <w:sz w:val="20"/>
          <w:szCs w:val="20"/>
        </w:rPr>
        <w:t>konsorsiyum</w:t>
      </w:r>
      <w:r>
        <w:rPr>
          <w:sz w:val="20"/>
          <w:szCs w:val="20"/>
        </w:rPr>
        <w:t xml:space="preserve"> ya da ortak girişim adına hareket etmek üzere tayin edilmiş bulunan kişi konsorsiyumu bağlama ve ilzam etme yetkisine sahip olacaktır.</w:t>
      </w:r>
    </w:p>
    <w:p w14:paraId="000000AF">
      <w:pPr>
        <w:tabs>
          <w:tab w:val="left" w:pos="0"/>
        </w:tabs>
        <w:rPr>
          <w:sz w:val="20"/>
          <w:szCs w:val="20"/>
        </w:rPr>
      </w:pPr>
      <w:r>
        <w:rPr>
          <w:sz w:val="20"/>
          <w:szCs w:val="20"/>
        </w:rPr>
        <w:t xml:space="preserve">(10) Sözleşme </w:t>
      </w:r>
      <w:r>
        <w:rPr>
          <w:sz w:val="20"/>
          <w:szCs w:val="20"/>
        </w:rPr>
        <w:t>Makamı’nın</w:t>
      </w:r>
      <w:r>
        <w:rPr>
          <w:sz w:val="20"/>
          <w:szCs w:val="20"/>
        </w:rPr>
        <w:t xml:space="preserve"> önceden yazılı rızası olmaksızın </w:t>
      </w:r>
      <w:r>
        <w:rPr>
          <w:sz w:val="20"/>
          <w:szCs w:val="20"/>
        </w:rPr>
        <w:t>konsorsiyum</w:t>
      </w:r>
      <w:r>
        <w:rPr>
          <w:sz w:val="20"/>
          <w:szCs w:val="20"/>
        </w:rPr>
        <w:t xml:space="preserve"> ya da ortak girişimin yapı ve bileşiminde yapılacak her türlü değişiklik sözleşmenin ihlali olarak addedilecektir.</w:t>
      </w:r>
    </w:p>
    <w:p w14:paraId="000000B0">
      <w:pPr>
        <w:tabs>
          <w:tab w:val="left" w:pos="0"/>
        </w:tabs>
        <w:rPr>
          <w:sz w:val="20"/>
          <w:szCs w:val="20"/>
        </w:rPr>
      </w:pPr>
      <w:r>
        <w:rPr>
          <w:sz w:val="20"/>
          <w:szCs w:val="20"/>
        </w:rPr>
        <w:t xml:space="preserve">(11) </w:t>
      </w:r>
      <w:r>
        <w:rPr>
          <w:sz w:val="20"/>
          <w:szCs w:val="20"/>
        </w:rPr>
        <w:t>Karacadağ Kalkınma Ajansı</w:t>
      </w:r>
      <w:r>
        <w:rPr>
          <w:sz w:val="20"/>
          <w:szCs w:val="20"/>
        </w:rPr>
        <w:t xml:space="preserve"> ile Sözleşme Makamı arasındaki sözleşme hükümleri uyarınca Yüklenici, </w:t>
      </w:r>
      <w:r>
        <w:rPr>
          <w:sz w:val="20"/>
          <w:szCs w:val="20"/>
        </w:rPr>
        <w:t>Karacadağ Kalkınma Ajansı</w:t>
      </w:r>
      <w:r>
        <w:rPr>
          <w:color w:val="000000"/>
          <w:sz w:val="20"/>
          <w:szCs w:val="20"/>
        </w:rPr>
        <w:t>’nın</w:t>
      </w:r>
      <w:r>
        <w:rPr>
          <w:sz w:val="20"/>
          <w:szCs w:val="20"/>
        </w:rPr>
        <w:t xml:space="preserve"> mali katkısının yeterli ölçüde tanıtım ve reklâmının yapılması için gerekli bütün adımları atacaktır. Bu adımların </w:t>
      </w:r>
      <w:r>
        <w:rPr>
          <w:color w:val="000000"/>
          <w:sz w:val="20"/>
          <w:szCs w:val="20"/>
        </w:rPr>
        <w:t>Karacadağ Kalkınma Ajansı</w:t>
      </w:r>
      <w:r>
        <w:rPr>
          <w:color w:val="000000"/>
          <w:sz w:val="20"/>
          <w:szCs w:val="20"/>
        </w:rPr>
        <w:t xml:space="preserve"> </w:t>
      </w:r>
      <w:r>
        <w:rPr>
          <w:sz w:val="20"/>
          <w:szCs w:val="20"/>
        </w:rPr>
        <w:t>tarafından tanımlanan ve yayımlanan tanınırlık ve görünürlük kurallarına uyması gereklidir.</w:t>
      </w:r>
    </w:p>
    <w:p w14:paraId="000000B1">
      <w:pPr>
        <w:tabs>
          <w:tab w:val="left" w:pos="0"/>
        </w:tabs>
        <w:rPr>
          <w:rFonts w:cs="Arial"/>
          <w:iCs/>
          <w:sz w:val="20"/>
          <w:szCs w:val="20"/>
        </w:rPr>
      </w:pPr>
      <w:r>
        <w:rPr>
          <w:sz w:val="20"/>
          <w:szCs w:val="20"/>
        </w:rPr>
        <w:t xml:space="preserve">(12) </w:t>
      </w:r>
      <w:r>
        <w:rPr>
          <w:rFonts w:cs="Arial"/>
          <w:iCs/>
          <w:sz w:val="20"/>
          <w:szCs w:val="20"/>
        </w:rPr>
        <w:t xml:space="preserve">Tasarım bileşeni olan sözleşmelerde; Yüklenici, yapım işlerinin tasarımını deneyimli tasarımcılardan yararlanarak,  Sözleşme Makamı tarafından belirlenen </w:t>
      </w:r>
      <w:r>
        <w:rPr>
          <w:rFonts w:cs="Arial"/>
          <w:iCs/>
          <w:sz w:val="20"/>
          <w:szCs w:val="20"/>
        </w:rPr>
        <w:t>kriterlere</w:t>
      </w:r>
      <w:r>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000000B2">
      <w:pPr>
        <w:tabs>
          <w:tab w:val="left" w:pos="0"/>
        </w:tabs>
        <w:rPr>
          <w:rFonts w:cs="Arial"/>
          <w:sz w:val="20"/>
          <w:szCs w:val="20"/>
        </w:rPr>
      </w:pPr>
      <w:r>
        <w:rPr>
          <w:rFonts w:cs="Arial"/>
          <w:iCs/>
          <w:sz w:val="20"/>
          <w:szCs w:val="20"/>
        </w:rPr>
        <w:t xml:space="preserve">(13) </w:t>
      </w:r>
      <w:r>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000000B3">
      <w:pPr>
        <w:tabs>
          <w:tab w:val="left" w:pos="0"/>
        </w:tabs>
        <w:rPr>
          <w:rFonts w:cs="Arial"/>
          <w:sz w:val="20"/>
          <w:szCs w:val="20"/>
        </w:rPr>
      </w:pPr>
      <w:r>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14:paraId="000000B4">
      <w:pPr>
        <w:ind w:left="720"/>
        <w:rPr>
          <w:rFonts w:cs="Arial"/>
          <w:sz w:val="20"/>
          <w:szCs w:val="20"/>
        </w:rPr>
      </w:pPr>
      <w:r>
        <w:rPr>
          <w:rFonts w:cs="Arial"/>
          <w:sz w:val="20"/>
          <w:szCs w:val="20"/>
        </w:rPr>
        <w:t>a) Yüklenicinin işlerin yürütülmesini önerdiği sıra;</w:t>
      </w:r>
    </w:p>
    <w:p w14:paraId="000000B5">
      <w:pPr>
        <w:ind w:left="720"/>
        <w:rPr>
          <w:rFonts w:cs="Arial"/>
          <w:sz w:val="20"/>
          <w:szCs w:val="20"/>
        </w:rPr>
      </w:pPr>
      <w:r>
        <w:rPr>
          <w:rFonts w:cs="Arial"/>
          <w:sz w:val="20"/>
          <w:szCs w:val="20"/>
        </w:rPr>
        <w:t>b) Çizimlerin teslim alınması ve kabul edilmesi için son teslim tarihi;</w:t>
      </w:r>
    </w:p>
    <w:p w14:paraId="000000B6">
      <w:pPr>
        <w:ind w:left="720"/>
        <w:rPr>
          <w:rFonts w:cs="Arial"/>
          <w:sz w:val="20"/>
          <w:szCs w:val="20"/>
        </w:rPr>
      </w:pPr>
      <w:r>
        <w:rPr>
          <w:rFonts w:cs="Arial"/>
          <w:sz w:val="20"/>
          <w:szCs w:val="20"/>
        </w:rPr>
        <w:t>c) Yüklenicinin işlerin yürütülmesi için önerdiği yöntemlerin genel bir tanımı;</w:t>
      </w:r>
    </w:p>
    <w:p w14:paraId="000000B7">
      <w:pPr>
        <w:ind w:left="720"/>
        <w:rPr>
          <w:rFonts w:cs="Arial"/>
          <w:sz w:val="20"/>
          <w:szCs w:val="20"/>
        </w:rPr>
      </w:pPr>
      <w:r>
        <w:rPr>
          <w:rFonts w:cs="Arial"/>
          <w:sz w:val="20"/>
          <w:szCs w:val="20"/>
        </w:rPr>
        <w:t>d) Sözleşme Makamının ihtiyaç duyabileceği daha geniş bilgi ve ayrıntılar</w:t>
      </w:r>
    </w:p>
    <w:p w14:paraId="000000B8">
      <w:pPr>
        <w:tabs>
          <w:tab w:val="left" w:pos="0"/>
        </w:tabs>
        <w:rPr>
          <w:rFonts w:cs="Arial"/>
          <w:sz w:val="20"/>
          <w:szCs w:val="20"/>
        </w:rPr>
      </w:pPr>
      <w:r>
        <w:rPr>
          <w:rFonts w:cs="Arial"/>
          <w:sz w:val="20"/>
          <w:szCs w:val="20"/>
        </w:rPr>
        <w:t xml:space="preserve">(15)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w:t>
      </w:r>
      <w:r>
        <w:rPr>
          <w:rFonts w:cs="Arial"/>
          <w:sz w:val="20"/>
          <w:szCs w:val="20"/>
        </w:rPr>
        <w:t>Koşullarda yer alır. Sözleşme Makamının programı onaylaması, Yüklenicinin bu sözleşme altındaki hiçbir yükümlülüğünü ortadan kaldırmaz.</w:t>
      </w:r>
    </w:p>
    <w:p w14:paraId="000000B9">
      <w:pPr>
        <w:tabs>
          <w:tab w:val="left" w:pos="0"/>
        </w:tabs>
        <w:rPr>
          <w:rFonts w:cs="Arial"/>
          <w:sz w:val="20"/>
          <w:szCs w:val="20"/>
        </w:rPr>
      </w:pPr>
      <w:r>
        <w:rPr>
          <w:rFonts w:cs="Arial"/>
          <w:sz w:val="20"/>
          <w:szCs w:val="20"/>
        </w:rPr>
        <w:t>(16) Sözleşme Makamı onayı olmadan programda hiçbir maddi değişiklik yapılmayacaktır</w:t>
      </w:r>
      <w:r>
        <w:rPr>
          <w:rFonts w:cs="Arial"/>
          <w:b/>
          <w:sz w:val="20"/>
          <w:szCs w:val="20"/>
        </w:rPr>
        <w:t xml:space="preserve">. </w:t>
      </w:r>
      <w:r>
        <w:rPr>
          <w:rFonts w:cs="Arial"/>
          <w:sz w:val="20"/>
          <w:szCs w:val="20"/>
        </w:rPr>
        <w:t>Bununla birlikte işlerin ilerlemesi</w:t>
      </w:r>
      <w:r>
        <w:rPr>
          <w:rFonts w:cs="Arial"/>
          <w:b/>
          <w:sz w:val="20"/>
          <w:szCs w:val="20"/>
        </w:rPr>
        <w:t xml:space="preserve"> </w:t>
      </w:r>
      <w:r>
        <w:rPr>
          <w:rFonts w:cs="Arial"/>
          <w:sz w:val="20"/>
          <w:szCs w:val="20"/>
        </w:rPr>
        <w:t>programa uymazsa, Sözleşme Makamı Yükleniciye programı gözden geçirme talimatı verebilir ve gözden geçirilmiş programı onay için kendisine sunmasını isteyebilir.</w:t>
      </w:r>
    </w:p>
    <w:p w14:paraId="000000BA">
      <w:pPr>
        <w:tabs>
          <w:tab w:val="left" w:pos="0"/>
        </w:tabs>
        <w:rPr>
          <w:rFonts w:cs="Arial"/>
          <w:sz w:val="20"/>
          <w:szCs w:val="20"/>
        </w:rPr>
      </w:pPr>
      <w:r>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000000BB">
      <w:pPr>
        <w:tabs>
          <w:tab w:val="left" w:pos="0"/>
        </w:tabs>
        <w:rPr>
          <w:rFonts w:cs="Arial"/>
          <w:sz w:val="20"/>
          <w:szCs w:val="20"/>
        </w:rPr>
      </w:pPr>
      <w:r>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14:paraId="000000BC">
      <w:pPr>
        <w:tabs>
          <w:tab w:val="left" w:pos="0"/>
        </w:tabs>
        <w:rPr>
          <w:rFonts w:cs="Arial"/>
          <w:sz w:val="20"/>
          <w:szCs w:val="20"/>
        </w:rPr>
      </w:pPr>
      <w:r>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000000BD">
      <w:pPr>
        <w:tabs>
          <w:tab w:val="left" w:pos="0"/>
        </w:tabs>
        <w:rPr>
          <w:sz w:val="20"/>
          <w:szCs w:val="20"/>
        </w:rPr>
      </w:pPr>
      <w:r>
        <w:rPr>
          <w:rFonts w:cs="Arial"/>
          <w:sz w:val="20"/>
          <w:szCs w:val="20"/>
        </w:rPr>
        <w:t xml:space="preserve">(20) </w:t>
      </w:r>
      <w:r>
        <w:rPr>
          <w:sz w:val="20"/>
          <w:szCs w:val="20"/>
        </w:rPr>
        <w:t xml:space="preserve">Yüklenici, sözleşmenin yürütülmekte olduğu şartlarla ilgili tevsik edici kanıtları talep edilmesi halinde Sözleşme </w:t>
      </w:r>
      <w:r>
        <w:rPr>
          <w:sz w:val="20"/>
          <w:szCs w:val="20"/>
        </w:rPr>
        <w:t>Makamı’na</w:t>
      </w:r>
      <w:r>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000000BE">
      <w:pPr>
        <w:tabs>
          <w:tab w:val="left" w:pos="0"/>
        </w:tabs>
        <w:rPr>
          <w:rFonts w:cs="Arial"/>
          <w:sz w:val="20"/>
          <w:szCs w:val="20"/>
        </w:rPr>
      </w:pPr>
      <w:r>
        <w:rPr>
          <w:sz w:val="20"/>
          <w:szCs w:val="20"/>
        </w:rPr>
        <w:t xml:space="preserve">(21) </w:t>
      </w:r>
      <w:r>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000000BF">
      <w:pPr>
        <w:numPr>
          <w:ilvl w:val="0"/>
          <w:numId w:val="10"/>
        </w:numPr>
        <w:spacing w:before="120" w:beforeAutospacing="0" w:after="0" w:afterAutospacing="0" w:line="240" w:lineRule="auto"/>
        <w:jc w:val="both"/>
        <w:rPr>
          <w:b/>
          <w:sz w:val="20"/>
          <w:szCs w:val="20"/>
        </w:rPr>
      </w:pPr>
      <w:r>
        <w:rPr>
          <w:b/>
          <w:sz w:val="20"/>
          <w:szCs w:val="20"/>
        </w:rPr>
        <w:t>İş ahlakı / davranış kuralları</w:t>
      </w:r>
    </w:p>
    <w:p w14:paraId="000000C0">
      <w:pPr>
        <w:tabs>
          <w:tab w:val="left" w:pos="0"/>
        </w:tabs>
        <w:rPr>
          <w:sz w:val="20"/>
          <w:szCs w:val="20"/>
        </w:rPr>
      </w:pPr>
      <w:r>
        <w:rPr>
          <w:sz w:val="20"/>
          <w:szCs w:val="20"/>
        </w:rPr>
        <w:t xml:space="preserve">(1) Yüklenici,  gerek mesleğine ilişkin iş ahlakı ve/veya davranış kurallarına gerekse doğru muhakeme ve takdir yetkisine uygun olarak, Sözleşme </w:t>
      </w:r>
      <w:r>
        <w:rPr>
          <w:sz w:val="20"/>
          <w:szCs w:val="20"/>
        </w:rPr>
        <w:t>Makamı’na</w:t>
      </w:r>
      <w:r>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000000C1">
      <w:pPr>
        <w:tabs>
          <w:tab w:val="left" w:pos="0"/>
        </w:tabs>
        <w:rPr>
          <w:sz w:val="20"/>
          <w:szCs w:val="20"/>
        </w:rPr>
      </w:pPr>
      <w:r>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00000C2">
      <w:pPr>
        <w:tabs>
          <w:tab w:val="left" w:pos="0"/>
        </w:tabs>
        <w:rPr>
          <w:sz w:val="20"/>
          <w:szCs w:val="20"/>
        </w:rPr>
      </w:pPr>
      <w:r>
        <w:rPr>
          <w:sz w:val="20"/>
          <w:szCs w:val="20"/>
        </w:rPr>
        <w:t xml:space="preserve">(3) Yüklenici, Sözleşme </w:t>
      </w:r>
      <w:r>
        <w:rPr>
          <w:sz w:val="20"/>
          <w:szCs w:val="20"/>
        </w:rPr>
        <w:t>Makamı’nın</w:t>
      </w:r>
      <w:r>
        <w:rPr>
          <w:sz w:val="20"/>
          <w:szCs w:val="20"/>
        </w:rPr>
        <w:t xml:space="preserve"> önceden yazılı onayı olmadığı takdirde, sözleşmede veya projede kullanılan ya da sözleşme veya proje amaçlarıyla yararlanılan patentli veya koruma altına alınmış hiçbir malzeme veya </w:t>
      </w:r>
      <w:r>
        <w:rPr>
          <w:sz w:val="20"/>
          <w:szCs w:val="20"/>
        </w:rPr>
        <w:t>prosesle</w:t>
      </w:r>
      <w:r>
        <w:rPr>
          <w:sz w:val="20"/>
          <w:szCs w:val="20"/>
        </w:rPr>
        <w:t xml:space="preserve"> ilgili olarak doğrudan veya dolaylı hiçbir imtiyaz bedeli, ödül veya komisyon alma hakkına sahip değildir. </w:t>
      </w:r>
    </w:p>
    <w:p w14:paraId="000000C3">
      <w:pPr>
        <w:tabs>
          <w:tab w:val="left" w:pos="0"/>
        </w:tabs>
        <w:rPr>
          <w:sz w:val="20"/>
          <w:szCs w:val="20"/>
        </w:rPr>
      </w:pPr>
      <w:r>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r>
        <w:rPr>
          <w:sz w:val="20"/>
          <w:szCs w:val="20"/>
        </w:rPr>
        <w:t>Makamı’na</w:t>
      </w:r>
      <w:r>
        <w:rPr>
          <w:sz w:val="20"/>
          <w:szCs w:val="20"/>
        </w:rPr>
        <w:t xml:space="preserve"> zarar verecek veya onu zaafa düşürecek şekilde kullanmayacaklardır.</w:t>
      </w:r>
    </w:p>
    <w:p w14:paraId="000000C4">
      <w:pPr>
        <w:tabs>
          <w:tab w:val="left" w:pos="0"/>
        </w:tabs>
        <w:rPr>
          <w:sz w:val="20"/>
          <w:szCs w:val="20"/>
        </w:rPr>
      </w:pPr>
      <w:r>
        <w:rPr>
          <w:sz w:val="20"/>
          <w:szCs w:val="20"/>
        </w:rPr>
        <w:t xml:space="preserve">(5) Sözleşmenin yürütülmesi olağandışı ticari giderlere yol açmayacaktır.  Şayet olağandışı ticari giderler meydana gelirse sözleşme feshedilecektir. </w:t>
      </w:r>
      <w:r>
        <w:rPr>
          <w:sz w:val="20"/>
          <w:szCs w:val="20"/>
        </w:rPr>
        <w:t xml:space="preserve">Olağandışı ticari giderler deyimiyle, sözleşmede belirtilmeyen veya </w:t>
      </w:r>
      <w:r>
        <w:rPr>
          <w:sz w:val="20"/>
          <w:szCs w:val="20"/>
        </w:rPr>
        <w:t>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000000C5">
      <w:pPr>
        <w:tabs>
          <w:tab w:val="left" w:pos="0"/>
        </w:tabs>
        <w:rPr>
          <w:rFonts w:cs="Arial"/>
          <w:sz w:val="20"/>
          <w:szCs w:val="20"/>
        </w:rPr>
      </w:pPr>
      <w:r>
        <w:rPr>
          <w:sz w:val="20"/>
          <w:szCs w:val="20"/>
        </w:rPr>
        <w:t xml:space="preserve">(6) </w:t>
      </w:r>
      <w:r>
        <w:rPr>
          <w:rFonts w:cs="Arial"/>
          <w:sz w:val="20"/>
          <w:szCs w:val="20"/>
        </w:rPr>
        <w:t>Yüklenici, sözleşme ile ilgili olarak alınan belge ve bilgilerin tamamına hususi ve gizli muamelesi yapacaktır. Yazılı izin olmaksızın sözleşmenin ayrıntıları yayımlanamaz, açıklanamaz.</w:t>
      </w:r>
    </w:p>
    <w:p w14:paraId="000000C6">
      <w:pPr>
        <w:keepNext w:val="on"/>
        <w:numPr>
          <w:ilvl w:val="0"/>
          <w:numId w:val="10"/>
        </w:numPr>
        <w:spacing w:before="120" w:beforeAutospacing="0" w:after="0" w:afterAutospacing="0" w:line="240" w:lineRule="auto"/>
        <w:ind w:left="357" w:hanging="357"/>
        <w:jc w:val="both"/>
        <w:rPr>
          <w:b/>
          <w:sz w:val="20"/>
          <w:szCs w:val="20"/>
        </w:rPr>
      </w:pPr>
      <w:r>
        <w:rPr>
          <w:b/>
          <w:sz w:val="20"/>
          <w:szCs w:val="20"/>
        </w:rPr>
        <w:t>Çıkar çatışması</w:t>
      </w:r>
    </w:p>
    <w:p w14:paraId="000000C7">
      <w:pPr>
        <w:tabs>
          <w:tab w:val="left" w:pos="0"/>
        </w:tabs>
        <w:rPr>
          <w:sz w:val="20"/>
          <w:szCs w:val="20"/>
        </w:rPr>
      </w:pPr>
      <w:r>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r>
        <w:rPr>
          <w:sz w:val="20"/>
          <w:szCs w:val="20"/>
        </w:rPr>
        <w:t>Makamı’na</w:t>
      </w:r>
      <w:r>
        <w:rPr>
          <w:sz w:val="20"/>
          <w:szCs w:val="20"/>
        </w:rPr>
        <w:t xml:space="preserve"> yazılı olarak bildirilmelidir.</w:t>
      </w:r>
    </w:p>
    <w:p w14:paraId="000000C8">
      <w:pPr>
        <w:tabs>
          <w:tab w:val="left" w:pos="0"/>
        </w:tabs>
        <w:rPr>
          <w:sz w:val="20"/>
          <w:szCs w:val="20"/>
        </w:rPr>
      </w:pPr>
      <w:r>
        <w:rPr>
          <w:sz w:val="20"/>
          <w:szCs w:val="20"/>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14:paraId="000000C9">
      <w:pPr>
        <w:tabs>
          <w:tab w:val="left" w:pos="0"/>
        </w:tabs>
        <w:rPr>
          <w:sz w:val="20"/>
          <w:szCs w:val="20"/>
        </w:rPr>
      </w:pPr>
      <w:r>
        <w:rPr>
          <w:sz w:val="20"/>
          <w:szCs w:val="20"/>
        </w:rPr>
        <w:t xml:space="preserve">(3) Yüklenici, sözleşmenin bu şekilde sona ermesinden veya feshedilmesinden sonra projeyle ilgili rolünü Sözleşme konusu işin teminiyle sınırlandıracaktır. Sözleşme </w:t>
      </w:r>
      <w:r>
        <w:rPr>
          <w:sz w:val="20"/>
          <w:szCs w:val="20"/>
        </w:rPr>
        <w:t>Makamı’nın</w:t>
      </w:r>
      <w:r>
        <w:rPr>
          <w:sz w:val="20"/>
          <w:szCs w:val="20"/>
        </w:rPr>
        <w:t xml:space="preserve">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14:paraId="000000CA">
      <w:pPr>
        <w:tabs>
          <w:tab w:val="left" w:pos="0"/>
        </w:tabs>
        <w:rPr>
          <w:sz w:val="20"/>
          <w:szCs w:val="20"/>
        </w:rPr>
      </w:pPr>
      <w:r>
        <w:rPr>
          <w:sz w:val="20"/>
          <w:szCs w:val="20"/>
        </w:rPr>
        <w:t xml:space="preserve">(4) Devlet memurları ve kamu sektöründe çalışan diğer kişiler, idari statüleri ve durumları her ne olursa olsun, Sözleşme Makamı tarafından önceden yazılı onay verilmedikçe </w:t>
      </w:r>
      <w:r>
        <w:rPr>
          <w:color w:val="000000"/>
          <w:sz w:val="20"/>
          <w:szCs w:val="20"/>
        </w:rPr>
        <w:t>Karacadağ Kalkınma Ajansı</w:t>
      </w:r>
      <w:r>
        <w:rPr>
          <w:color w:val="000000"/>
          <w:sz w:val="20"/>
          <w:szCs w:val="20"/>
        </w:rPr>
        <w:t xml:space="preserve"> </w:t>
      </w:r>
      <w:r>
        <w:rPr>
          <w:sz w:val="20"/>
          <w:szCs w:val="20"/>
        </w:rPr>
        <w:t>tarafından finanse edilen sözleşmelerde uzman olarak görevlendirilemeyeceklerdir. Söz konusu kişilerin bu kapsamda görevlendirilmeleri halinde proje bütçesinden herhangi bir ödeme yapılamaz.</w:t>
      </w:r>
    </w:p>
    <w:p w14:paraId="000000CB">
      <w:pPr>
        <w:tabs>
          <w:tab w:val="left" w:pos="0"/>
        </w:tabs>
        <w:rPr>
          <w:sz w:val="20"/>
          <w:szCs w:val="20"/>
        </w:rPr>
      </w:pPr>
      <w:r>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Pr>
          <w:color w:val="000000"/>
          <w:sz w:val="20"/>
          <w:szCs w:val="20"/>
        </w:rPr>
        <w:t xml:space="preserve"> </w:t>
      </w:r>
      <w:r>
        <w:rPr>
          <w:color w:val="000000"/>
          <w:sz w:val="20"/>
          <w:szCs w:val="20"/>
        </w:rPr>
        <w:t>Karacadağ Kalkınma Ajansı</w:t>
      </w:r>
      <w:r>
        <w:rPr>
          <w:color w:val="000000"/>
          <w:sz w:val="20"/>
          <w:szCs w:val="20"/>
        </w:rPr>
        <w:t xml:space="preserve"> </w:t>
      </w:r>
      <w:r>
        <w:rPr>
          <w:sz w:val="20"/>
          <w:szCs w:val="20"/>
        </w:rPr>
        <w:t>mali desteklerinden yararlanamazlar.</w:t>
      </w:r>
    </w:p>
    <w:p w14:paraId="000000CC">
      <w:pPr>
        <w:numPr>
          <w:ilvl w:val="0"/>
          <w:numId w:val="10"/>
        </w:numPr>
        <w:spacing w:before="120" w:beforeAutospacing="0" w:after="0" w:afterAutospacing="0" w:line="240" w:lineRule="auto"/>
        <w:jc w:val="both"/>
        <w:rPr>
          <w:b/>
          <w:sz w:val="20"/>
          <w:szCs w:val="20"/>
        </w:rPr>
      </w:pPr>
      <w:r>
        <w:rPr>
          <w:b/>
          <w:sz w:val="20"/>
          <w:szCs w:val="20"/>
        </w:rPr>
        <w:t>İdari ve mali cezalar</w:t>
      </w:r>
    </w:p>
    <w:p w14:paraId="000000CD">
      <w:pPr>
        <w:tabs>
          <w:tab w:val="left" w:pos="0"/>
        </w:tabs>
        <w:rPr>
          <w:sz w:val="20"/>
          <w:szCs w:val="20"/>
        </w:rPr>
      </w:pPr>
      <w:r>
        <w:rPr>
          <w:sz w:val="20"/>
          <w:szCs w:val="20"/>
        </w:rPr>
        <w:t xml:space="preserve">(1) Sözleşmede hükme bağlanan cezaların uygulanması saklı kalmak kaydıyla, eğer Yüklenici yanlış veya sahte beyanda bulunmaktan suçlu görülmüşse ya da daha önceki bir tedarik </w:t>
      </w:r>
      <w:r>
        <w:rPr>
          <w:sz w:val="20"/>
          <w:szCs w:val="20"/>
        </w:rPr>
        <w:t>prosedüründe</w:t>
      </w:r>
      <w:r>
        <w:rPr>
          <w:sz w:val="20"/>
          <w:szCs w:val="20"/>
        </w:rPr>
        <w:t xml:space="preserve"> akdi yükümlülüklerini ciddi ölçüde yerine getirmediği tespit edilmişse, bu ihlalin belirlendiği tarihten itibaren azami üç yıl süreyle </w:t>
      </w:r>
      <w:r>
        <w:rPr>
          <w:sz w:val="20"/>
          <w:szCs w:val="20"/>
        </w:rPr>
        <w:t>Karacadağ Kalkınma Ajansı</w:t>
      </w:r>
      <w:r>
        <w:rPr>
          <w:sz w:val="20"/>
          <w:szCs w:val="20"/>
        </w:rPr>
        <w:t xml:space="preserve"> tarafından finanse edilen sözleşmelere ve mali destek programlarına katılmasına izin verilmeyecektir. Bu husus Yükleniciyle yapılacak </w:t>
      </w:r>
      <w:r>
        <w:rPr>
          <w:sz w:val="20"/>
          <w:szCs w:val="20"/>
        </w:rPr>
        <w:t>hasımlı</w:t>
      </w:r>
      <w:r>
        <w:rPr>
          <w:sz w:val="20"/>
          <w:szCs w:val="20"/>
        </w:rPr>
        <w:t xml:space="preserve"> hukuki takibat </w:t>
      </w:r>
      <w:r>
        <w:rPr>
          <w:sz w:val="20"/>
          <w:szCs w:val="20"/>
        </w:rPr>
        <w:t>prosedüründen</w:t>
      </w:r>
      <w:r>
        <w:rPr>
          <w:sz w:val="20"/>
          <w:szCs w:val="20"/>
        </w:rPr>
        <w:t xml:space="preserve"> sonra teyit edilecektir. </w:t>
      </w:r>
    </w:p>
    <w:p w14:paraId="000000CE">
      <w:pPr>
        <w:rPr>
          <w:sz w:val="20"/>
          <w:szCs w:val="20"/>
        </w:rPr>
      </w:pPr>
      <w:r>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Karacadağ Kalkınma Ajansı</w:t>
      </w:r>
      <w:r>
        <w:rPr>
          <w:sz w:val="20"/>
          <w:szCs w:val="20"/>
        </w:rPr>
        <w:t xml:space="preserve"> tarafından tebellüğ edilmesinden itibaren 30 gün içinde </w:t>
      </w:r>
      <w:r>
        <w:rPr>
          <w:sz w:val="20"/>
          <w:szCs w:val="20"/>
        </w:rPr>
        <w:t>Karacadağ Kalkınma Ajansı</w:t>
      </w:r>
      <w:r>
        <w:rPr>
          <w:sz w:val="20"/>
          <w:szCs w:val="20"/>
        </w:rPr>
        <w:t>’nın cezayı yazılı olarak geri çekmemesi durumunda, ceza uygulama kararı bağlayıcı hale gelecektir. İlk ihlalden itibaren beş yıl içinde suçun tekrarlanması halinde men kararı altı yıla çıkarılabilecektir.</w:t>
      </w:r>
    </w:p>
    <w:p w14:paraId="000000CF">
      <w:pPr>
        <w:tabs>
          <w:tab w:val="left" w:pos="0"/>
        </w:tabs>
        <w:rPr>
          <w:sz w:val="20"/>
          <w:szCs w:val="20"/>
        </w:rPr>
      </w:pPr>
      <w:r>
        <w:rPr>
          <w:sz w:val="20"/>
          <w:szCs w:val="20"/>
        </w:rPr>
        <w:t xml:space="preserve">(2) Mücbir sebepler dışında sözleşme yükümlülüklerini ciddi ölçüde yerine getirmedikleri tespit edilen Yükleniciler toplam Sözleşme bedelinin %10’u oranında mali cezaya çarptırılacaklardır. İlk ihlalden itibaren beş </w:t>
      </w:r>
      <w:r>
        <w:rPr>
          <w:sz w:val="20"/>
          <w:szCs w:val="20"/>
        </w:rPr>
        <w:t>yıl içinde, bu tür ihlallerin diğer Kalkınma Ajansları mali destek programları kapsamında, tekrarlanması halinde bu oran %20’ye yükseltilebilecektir.</w:t>
      </w:r>
    </w:p>
    <w:p w14:paraId="000000D0">
      <w:pPr>
        <w:tabs>
          <w:tab w:val="left" w:pos="0"/>
        </w:tabs>
        <w:rPr>
          <w:sz w:val="20"/>
          <w:szCs w:val="20"/>
        </w:rPr>
      </w:pPr>
      <w:r>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000000D1">
      <w:pPr>
        <w:tabs>
          <w:tab w:val="left" w:pos="0"/>
        </w:tabs>
        <w:rPr>
          <w:sz w:val="20"/>
          <w:szCs w:val="20"/>
        </w:rPr>
      </w:pPr>
    </w:p>
    <w:p w14:paraId="000000D2">
      <w:pPr>
        <w:tabs>
          <w:tab w:val="left" w:pos="0"/>
        </w:tabs>
        <w:rPr>
          <w:sz w:val="20"/>
          <w:szCs w:val="20"/>
        </w:rPr>
      </w:pPr>
    </w:p>
    <w:p w14:paraId="000000D3">
      <w:pPr>
        <w:numPr>
          <w:ilvl w:val="0"/>
          <w:numId w:val="10"/>
        </w:numPr>
        <w:spacing w:before="120" w:beforeAutospacing="0" w:after="0" w:afterAutospacing="0" w:line="240" w:lineRule="auto"/>
        <w:jc w:val="both"/>
        <w:rPr>
          <w:b/>
          <w:sz w:val="20"/>
          <w:szCs w:val="20"/>
        </w:rPr>
      </w:pPr>
      <w:r>
        <w:rPr>
          <w:b/>
          <w:sz w:val="20"/>
          <w:szCs w:val="20"/>
        </w:rPr>
        <w:t>Tazmin etme yükümlülüğü</w:t>
      </w:r>
    </w:p>
    <w:p w14:paraId="000000D4">
      <w:pPr>
        <w:tabs>
          <w:tab w:val="left" w:pos="0"/>
        </w:tabs>
        <w:rPr>
          <w:sz w:val="20"/>
          <w:szCs w:val="20"/>
        </w:rPr>
      </w:pPr>
      <w:r>
        <w:rPr>
          <w:sz w:val="20"/>
          <w:szCs w:val="20"/>
        </w:rPr>
        <w:t xml:space="preserve">(1) Yüklenici, tüm masraf ve giderleri kendisine ait olmak üzere, Sözleşme </w:t>
      </w:r>
      <w:r>
        <w:rPr>
          <w:sz w:val="20"/>
          <w:szCs w:val="20"/>
        </w:rPr>
        <w:t>Makamı’nı</w:t>
      </w:r>
      <w:r>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r>
        <w:rPr>
          <w:sz w:val="20"/>
          <w:szCs w:val="20"/>
        </w:rPr>
        <w:t>Şöyle ki:</w:t>
      </w:r>
    </w:p>
    <w:p w14:paraId="000000D5">
      <w:pPr>
        <w:ind w:left="993" w:hanging="284"/>
        <w:rPr>
          <w:sz w:val="20"/>
          <w:szCs w:val="20"/>
        </w:rPr>
      </w:pPr>
      <w:r>
        <w:rPr>
          <w:sz w:val="20"/>
          <w:szCs w:val="20"/>
        </w:rPr>
        <w:t>a)</w:t>
      </w:r>
      <w:r>
        <w:rPr>
          <w:sz w:val="20"/>
          <w:szCs w:val="20"/>
        </w:rPr>
        <w:tab/>
        <w:t xml:space="preserve">Sözleşme Makamı söz konusu iddia, talep, dava, kayıp ve zararları öğrenmesinden itibaren en geç 30 gün içinde bunları Yükleniciye bildirecektir; </w:t>
      </w:r>
      <w:r>
        <w:rPr>
          <w:b/>
          <w:sz w:val="20"/>
          <w:szCs w:val="20"/>
        </w:rPr>
        <w:t xml:space="preserve"> </w:t>
      </w:r>
      <w:r>
        <w:rPr>
          <w:sz w:val="20"/>
          <w:szCs w:val="20"/>
        </w:rPr>
        <w:t xml:space="preserve">        </w:t>
      </w:r>
    </w:p>
    <w:p w14:paraId="000000D6">
      <w:pPr>
        <w:ind w:left="993" w:hanging="284"/>
        <w:rPr>
          <w:sz w:val="20"/>
          <w:szCs w:val="20"/>
        </w:rPr>
      </w:pPr>
      <w:r>
        <w:rPr>
          <w:sz w:val="20"/>
          <w:szCs w:val="20"/>
        </w:rPr>
        <w:t>b)</w:t>
      </w:r>
      <w:r>
        <w:rPr>
          <w:sz w:val="20"/>
          <w:szCs w:val="20"/>
        </w:rPr>
        <w:tab/>
        <w:t xml:space="preserve">Yüklenicinin Sözleşme </w:t>
      </w:r>
      <w:r>
        <w:rPr>
          <w:sz w:val="20"/>
          <w:szCs w:val="20"/>
        </w:rPr>
        <w:t>Makamı’na</w:t>
      </w:r>
      <w:r>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000000D7">
      <w:pPr>
        <w:ind w:left="993" w:hanging="284"/>
        <w:rPr>
          <w:sz w:val="20"/>
          <w:szCs w:val="20"/>
        </w:rPr>
      </w:pPr>
      <w:r>
        <w:rPr>
          <w:sz w:val="20"/>
          <w:szCs w:val="20"/>
        </w:rPr>
        <w:t>c)</w:t>
      </w:r>
      <w:r>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000000D8">
      <w:pPr>
        <w:tabs>
          <w:tab w:val="left" w:pos="0"/>
        </w:tabs>
        <w:rPr>
          <w:sz w:val="20"/>
          <w:szCs w:val="20"/>
        </w:rPr>
      </w:pPr>
      <w:r>
        <w:rPr>
          <w:sz w:val="20"/>
          <w:szCs w:val="20"/>
        </w:rPr>
        <w:t xml:space="preserve">(2) Yüklenici, tüm masraf ve giderleri kendisine ait olmak üzere, Sözleşme </w:t>
      </w:r>
      <w:r>
        <w:rPr>
          <w:sz w:val="20"/>
          <w:szCs w:val="20"/>
        </w:rPr>
        <w:t>Makamı’nın</w:t>
      </w:r>
      <w:r>
        <w:rPr>
          <w:sz w:val="20"/>
          <w:szCs w:val="20"/>
        </w:rPr>
        <w:t xml:space="preserve"> talebi halinde, Yüklenicinin sözleşme altındaki yükümlülüklerini yerine getirmemesi durumunda sözleşme konusu işlerin yürütülmesinde meydana gelen her türlü kusur ve hatayı giderecektir. </w:t>
      </w:r>
    </w:p>
    <w:p w14:paraId="000000D9">
      <w:pPr>
        <w:tabs>
          <w:tab w:val="left" w:pos="0"/>
        </w:tabs>
        <w:rPr>
          <w:sz w:val="20"/>
          <w:szCs w:val="20"/>
        </w:rPr>
      </w:pPr>
      <w:r>
        <w:rPr>
          <w:sz w:val="20"/>
          <w:szCs w:val="20"/>
        </w:rPr>
        <w:t>(3) Yüklenici aşağıdaki sebeplerden ötürü bulunulan iddia, talep, dava, kayıp ve zararlar için hiçbir şekilde sorumluluk taşımayacaktır:</w:t>
      </w:r>
    </w:p>
    <w:p w14:paraId="000000DA">
      <w:pPr>
        <w:ind w:left="993" w:hanging="284"/>
        <w:rPr>
          <w:sz w:val="20"/>
          <w:szCs w:val="20"/>
        </w:rPr>
      </w:pPr>
      <w:r>
        <w:rPr>
          <w:sz w:val="20"/>
          <w:szCs w:val="20"/>
        </w:rPr>
        <w:t>a)</w:t>
      </w:r>
      <w:r>
        <w:rPr>
          <w:sz w:val="20"/>
          <w:szCs w:val="20"/>
        </w:rPr>
        <w:tab/>
        <w:t xml:space="preserve">Sözleşme </w:t>
      </w:r>
      <w:r>
        <w:rPr>
          <w:sz w:val="20"/>
          <w:szCs w:val="20"/>
        </w:rPr>
        <w:t>Makamı’nın</w:t>
      </w:r>
      <w:r>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r>
        <w:rPr>
          <w:sz w:val="20"/>
          <w:szCs w:val="20"/>
        </w:rPr>
        <w:t>zorlaması;</w:t>
      </w:r>
      <w:r>
        <w:rPr>
          <w:sz w:val="20"/>
          <w:szCs w:val="20"/>
        </w:rPr>
        <w:t xml:space="preserve"> veya   </w:t>
      </w:r>
    </w:p>
    <w:p w14:paraId="000000DB">
      <w:pPr>
        <w:ind w:left="993" w:hanging="284"/>
        <w:rPr>
          <w:sz w:val="20"/>
          <w:szCs w:val="20"/>
        </w:rPr>
      </w:pPr>
      <w:r>
        <w:rPr>
          <w:sz w:val="20"/>
          <w:szCs w:val="20"/>
        </w:rPr>
        <w:t>b)</w:t>
      </w:r>
      <w:r>
        <w:rPr>
          <w:sz w:val="20"/>
          <w:szCs w:val="20"/>
        </w:rPr>
        <w:tab/>
        <w:t xml:space="preserve">Yüklenicinin talimatlarının Sözleşme </w:t>
      </w:r>
      <w:r>
        <w:rPr>
          <w:sz w:val="20"/>
          <w:szCs w:val="20"/>
        </w:rPr>
        <w:t>Makamı’nın</w:t>
      </w:r>
      <w:r>
        <w:rPr>
          <w:sz w:val="20"/>
          <w:szCs w:val="20"/>
        </w:rPr>
        <w:t xml:space="preserve"> vekilleri, çalışanları veya bağımsız Yüklenicileri tarafından yanlış ve uygunsuz şekilde uygulanması.</w:t>
      </w:r>
    </w:p>
    <w:p w14:paraId="000000DC">
      <w:pPr>
        <w:tabs>
          <w:tab w:val="left" w:pos="0"/>
        </w:tabs>
        <w:rPr>
          <w:sz w:val="20"/>
          <w:szCs w:val="20"/>
        </w:rPr>
      </w:pPr>
      <w:r>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000000DD">
      <w:pPr>
        <w:numPr>
          <w:ilvl w:val="0"/>
          <w:numId w:val="10"/>
        </w:numPr>
        <w:spacing w:before="120" w:beforeAutospacing="0" w:after="0" w:afterAutospacing="0" w:line="240" w:lineRule="auto"/>
        <w:jc w:val="both"/>
        <w:rPr>
          <w:b/>
          <w:sz w:val="20"/>
          <w:szCs w:val="20"/>
        </w:rPr>
      </w:pPr>
      <w:r>
        <w:rPr>
          <w:b/>
          <w:sz w:val="20"/>
          <w:szCs w:val="20"/>
        </w:rPr>
        <w:t>Sağlık, sigorta ve iş güvenliği düzenlemeleri</w:t>
      </w:r>
    </w:p>
    <w:p w14:paraId="000000DE">
      <w:pPr>
        <w:tabs>
          <w:tab w:val="left" w:pos="0"/>
        </w:tabs>
        <w:rPr>
          <w:sz w:val="20"/>
          <w:szCs w:val="20"/>
        </w:rPr>
      </w:pPr>
      <w:r>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r>
        <w:rPr>
          <w:sz w:val="20"/>
          <w:szCs w:val="20"/>
        </w:rPr>
        <w:t>Makamı’na</w:t>
      </w:r>
      <w:r>
        <w:rPr>
          <w:sz w:val="20"/>
          <w:szCs w:val="20"/>
        </w:rPr>
        <w:t xml:space="preserve"> vermelerini talep edebilir.</w:t>
      </w:r>
    </w:p>
    <w:p w14:paraId="000000DF">
      <w:pPr>
        <w:tabs>
          <w:tab w:val="left" w:pos="0"/>
        </w:tabs>
        <w:rPr>
          <w:sz w:val="20"/>
          <w:szCs w:val="20"/>
        </w:rPr>
      </w:pPr>
      <w:r>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000000E0">
      <w:pPr>
        <w:tabs>
          <w:tab w:val="left" w:pos="0"/>
        </w:tabs>
        <w:rPr>
          <w:sz w:val="20"/>
          <w:szCs w:val="20"/>
        </w:rPr>
      </w:pPr>
      <w:r>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000000E1">
      <w:pPr>
        <w:tabs>
          <w:tab w:val="left" w:pos="0"/>
        </w:tabs>
        <w:rPr>
          <w:sz w:val="20"/>
          <w:szCs w:val="20"/>
        </w:rPr>
      </w:pPr>
      <w:r>
        <w:rPr>
          <w:sz w:val="20"/>
          <w:szCs w:val="20"/>
        </w:rPr>
        <w:t>Söz konusu sigorta poliçesi sözleşme süresince aşağıdaki hususları sigorta teminatı kapsamında bulunduracaktır:</w:t>
      </w:r>
    </w:p>
    <w:p w14:paraId="000000E2">
      <w:pPr>
        <w:ind w:left="993" w:hanging="283"/>
        <w:rPr>
          <w:sz w:val="20"/>
          <w:szCs w:val="20"/>
        </w:rPr>
      </w:pPr>
      <w:r>
        <w:rPr>
          <w:sz w:val="20"/>
          <w:szCs w:val="20"/>
        </w:rPr>
        <w:t>a)</w:t>
      </w:r>
      <w:r>
        <w:rPr>
          <w:sz w:val="20"/>
          <w:szCs w:val="20"/>
        </w:rPr>
        <w:tab/>
        <w:t xml:space="preserve">Yüklenicinin, çalıştırdığı personeli etkileyen hastalık ve iş kazaları bakımından sorumluluğu;  </w:t>
      </w:r>
    </w:p>
    <w:p w14:paraId="000000E3">
      <w:pPr>
        <w:ind w:left="993" w:hanging="283"/>
        <w:rPr>
          <w:sz w:val="20"/>
          <w:szCs w:val="20"/>
        </w:rPr>
      </w:pPr>
      <w:r>
        <w:rPr>
          <w:sz w:val="20"/>
          <w:szCs w:val="20"/>
        </w:rPr>
        <w:t>b)</w:t>
      </w:r>
      <w:r>
        <w:rPr>
          <w:sz w:val="20"/>
          <w:szCs w:val="20"/>
        </w:rPr>
        <w:tab/>
        <w:t xml:space="preserve">Sözleşmenin ifasında kullanılan Sözleşme Makamı </w:t>
      </w:r>
      <w:r>
        <w:rPr>
          <w:sz w:val="20"/>
          <w:szCs w:val="20"/>
        </w:rPr>
        <w:t>ekipmanlarının</w:t>
      </w:r>
      <w:r>
        <w:rPr>
          <w:sz w:val="20"/>
          <w:szCs w:val="20"/>
        </w:rPr>
        <w:t xml:space="preserve"> kaybolması veya hasar görmesi;</w:t>
      </w:r>
    </w:p>
    <w:p w14:paraId="000000E4">
      <w:pPr>
        <w:ind w:left="993" w:hanging="283"/>
        <w:rPr>
          <w:sz w:val="20"/>
          <w:szCs w:val="20"/>
        </w:rPr>
      </w:pPr>
      <w:r>
        <w:rPr>
          <w:sz w:val="20"/>
          <w:szCs w:val="20"/>
        </w:rPr>
        <w:t>c)</w:t>
      </w:r>
      <w:r>
        <w:rPr>
          <w:sz w:val="20"/>
          <w:szCs w:val="20"/>
        </w:rPr>
        <w:tab/>
        <w:t xml:space="preserve">Sözleşmenin ifasından kaynaklanan sebeplerle üçüncü şahısların/tarafların veya Sözleşme </w:t>
      </w:r>
      <w:r>
        <w:rPr>
          <w:sz w:val="20"/>
          <w:szCs w:val="20"/>
        </w:rPr>
        <w:t>Makamı’nın</w:t>
      </w:r>
      <w:r>
        <w:rPr>
          <w:sz w:val="20"/>
          <w:szCs w:val="20"/>
        </w:rPr>
        <w:t xml:space="preserve"> ve çalışanlarının kazaya maruz kalması halinde üstlenilecek hukuki sorumluluk ve  </w:t>
      </w:r>
    </w:p>
    <w:p w14:paraId="000000E5">
      <w:pPr>
        <w:ind w:left="993" w:hanging="283"/>
        <w:rPr>
          <w:sz w:val="20"/>
          <w:szCs w:val="20"/>
        </w:rPr>
      </w:pPr>
      <w:r>
        <w:rPr>
          <w:sz w:val="20"/>
          <w:szCs w:val="20"/>
        </w:rPr>
        <w:t>d)</w:t>
      </w:r>
      <w:r>
        <w:rPr>
          <w:sz w:val="20"/>
          <w:szCs w:val="20"/>
        </w:rPr>
        <w:tab/>
        <w:t>Sözleşmenin ifasıyla ilgili olarak kaza sonucu meydana gelecek ölümler veya kaza neticesinde oluşabilecek bedensel yaralanmalar dolayısıyla ortaya çıkacak kalıcı sakatlık veya iş göremezlik.</w:t>
      </w:r>
    </w:p>
    <w:p w14:paraId="000000E6">
      <w:pPr>
        <w:tabs>
          <w:tab w:val="left" w:pos="0"/>
        </w:tabs>
        <w:rPr>
          <w:sz w:val="20"/>
          <w:szCs w:val="20"/>
        </w:rPr>
      </w:pPr>
      <w:r>
        <w:rPr>
          <w:sz w:val="20"/>
          <w:szCs w:val="20"/>
        </w:rPr>
        <w:t>(4) Yüklenici, Sözleşme Makamı veya Proje Yöneticisi tarafından gerekli görülen zamanlarda sosyal güvenlik poliçelerine ve primlerin düzenli olarak ödendiğine dair kanıtları gecikmeksizin ibraz edecektir.</w:t>
      </w:r>
    </w:p>
    <w:p w14:paraId="000000E7">
      <w:pPr>
        <w:tabs>
          <w:tab w:val="left" w:pos="0"/>
        </w:tabs>
        <w:rPr>
          <w:sz w:val="20"/>
          <w:szCs w:val="20"/>
        </w:rPr>
      </w:pPr>
      <w:r>
        <w:rPr>
          <w:sz w:val="20"/>
          <w:szCs w:val="20"/>
        </w:rPr>
        <w:t>(5) Yüklenici, çalışanları ve uzmanları için bu kişilerin maruz kalabilecekleri tehlikelere karşı gerekli emniyet ve iş güvenliği tedbirlerini alacaktır.</w:t>
      </w:r>
    </w:p>
    <w:p w14:paraId="000000E8">
      <w:pPr>
        <w:tabs>
          <w:tab w:val="left" w:pos="0"/>
        </w:tabs>
        <w:rPr>
          <w:sz w:val="20"/>
          <w:szCs w:val="20"/>
        </w:rPr>
      </w:pPr>
      <w:r>
        <w:rPr>
          <w:sz w:val="20"/>
          <w:szCs w:val="20"/>
        </w:rPr>
        <w:t xml:space="preserve">(6) Yüklenici, çalışanlarının ve uzmanlarının maruz bulunduğu fiziksel risk düzeyini izlemekten ve Sözleşme </w:t>
      </w:r>
      <w:r>
        <w:rPr>
          <w:sz w:val="20"/>
          <w:szCs w:val="20"/>
        </w:rPr>
        <w:t>Makamı’nı</w:t>
      </w:r>
      <w:r>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000000E9">
      <w:pPr>
        <w:numPr>
          <w:ilvl w:val="0"/>
          <w:numId w:val="10"/>
        </w:numPr>
        <w:spacing w:before="120" w:beforeAutospacing="0" w:after="0" w:afterAutospacing="0" w:line="240" w:lineRule="auto"/>
        <w:jc w:val="both"/>
        <w:rPr>
          <w:b/>
          <w:sz w:val="20"/>
          <w:szCs w:val="20"/>
        </w:rPr>
      </w:pPr>
      <w:r>
        <w:rPr>
          <w:b/>
          <w:sz w:val="20"/>
          <w:szCs w:val="20"/>
        </w:rPr>
        <w:t>Fikri ve sınaî mülkiyet hakları</w:t>
      </w:r>
    </w:p>
    <w:p w14:paraId="000000EA">
      <w:pPr>
        <w:tabs>
          <w:tab w:val="left" w:pos="0"/>
        </w:tabs>
        <w:rPr>
          <w:sz w:val="20"/>
          <w:szCs w:val="20"/>
        </w:rPr>
      </w:pPr>
      <w:r>
        <w:rPr>
          <w:sz w:val="20"/>
          <w:szCs w:val="20"/>
        </w:rPr>
        <w:t xml:space="preserve">(1) Sözleşmenin yürütülmesi sırasında Yüklenici tarafından edinilen, derlenen veya hazırlanan haritalar, şemalar, çizimler, şartnameler, </w:t>
      </w:r>
      <w:r>
        <w:rPr>
          <w:sz w:val="20"/>
          <w:szCs w:val="20"/>
        </w:rPr>
        <w:t>spesifikasyonlar</w:t>
      </w:r>
      <w:r>
        <w:rPr>
          <w:sz w:val="20"/>
          <w:szCs w:val="20"/>
        </w:rPr>
        <w:t xml:space="preserve">, planlar, istatistikler, hesaplar, veri tabanları, yazılımlar, destekleyici/doğrulayıcı kayıtlar veya materyaller gibi her türlü veri ve rapor aksi belirtilmedikçe Sözleşme </w:t>
      </w:r>
      <w:r>
        <w:rPr>
          <w:sz w:val="20"/>
          <w:szCs w:val="20"/>
        </w:rPr>
        <w:t>Makamı’nın</w:t>
      </w:r>
      <w:r>
        <w:rPr>
          <w:sz w:val="20"/>
          <w:szCs w:val="20"/>
        </w:rPr>
        <w:t xml:space="preserve"> mutlak mülkiyetinde kalacaktır. Yüklenici, sözleşmenin bitimi üzerine, bütün bu dokümanları ve verileri Sözleşme </w:t>
      </w:r>
      <w:r>
        <w:rPr>
          <w:sz w:val="20"/>
          <w:szCs w:val="20"/>
        </w:rPr>
        <w:t>Makamı’na</w:t>
      </w:r>
      <w:r>
        <w:rPr>
          <w:sz w:val="20"/>
          <w:szCs w:val="20"/>
        </w:rPr>
        <w:t xml:space="preserve"> teslim edecektir. Yüklenici, Sözleşme </w:t>
      </w:r>
      <w:r>
        <w:rPr>
          <w:sz w:val="20"/>
          <w:szCs w:val="20"/>
        </w:rPr>
        <w:t>Makamı’nın</w:t>
      </w:r>
      <w:r>
        <w:rPr>
          <w:sz w:val="20"/>
          <w:szCs w:val="20"/>
        </w:rPr>
        <w:t xml:space="preserve"> önceden yazılı onayı olmadan, bu doküman ve verilerin kopyalarını saklayamaz ve bunları sözleşme dışı amaçlar için kullanamaz.</w:t>
      </w:r>
    </w:p>
    <w:p w14:paraId="000000EB">
      <w:pPr>
        <w:tabs>
          <w:tab w:val="left" w:pos="0"/>
        </w:tabs>
        <w:rPr>
          <w:sz w:val="20"/>
          <w:szCs w:val="20"/>
        </w:rPr>
      </w:pPr>
      <w:r>
        <w:rPr>
          <w:sz w:val="20"/>
          <w:szCs w:val="20"/>
        </w:rPr>
        <w:t xml:space="preserve">(2) Telif hakları ve diğer fikri veya sınai mülkiyet hakları da </w:t>
      </w:r>
      <w:r>
        <w:rPr>
          <w:sz w:val="20"/>
          <w:szCs w:val="20"/>
        </w:rPr>
        <w:t>dahil</w:t>
      </w:r>
      <w:r>
        <w:rPr>
          <w:sz w:val="20"/>
          <w:szCs w:val="20"/>
        </w:rPr>
        <w:t xml:space="preserve"> olmak üzere, Sözleşmenin yürütülmesi sırasında yazılı materyallerle ilgili olarak elde edilen her türlü sonuç ve hak Sözleşme </w:t>
      </w:r>
      <w:r>
        <w:rPr>
          <w:sz w:val="20"/>
          <w:szCs w:val="20"/>
        </w:rPr>
        <w:t>Makamı’nın</w:t>
      </w:r>
      <w:r>
        <w:rPr>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000000EC">
      <w:pPr>
        <w:keepNext w:val="on"/>
        <w:numPr>
          <w:ilvl w:val="0"/>
          <w:numId w:val="10"/>
        </w:numPr>
        <w:spacing w:before="120" w:beforeAutospacing="0" w:after="0" w:afterAutospacing="0" w:line="240" w:lineRule="auto"/>
        <w:ind w:left="357" w:hanging="357"/>
        <w:jc w:val="both"/>
        <w:rPr>
          <w:b/>
          <w:sz w:val="20"/>
          <w:szCs w:val="20"/>
        </w:rPr>
      </w:pPr>
      <w:r>
        <w:rPr>
          <w:b/>
          <w:sz w:val="20"/>
          <w:szCs w:val="20"/>
        </w:rPr>
        <w:t xml:space="preserve">Personel ve </w:t>
      </w:r>
      <w:r>
        <w:rPr>
          <w:b/>
          <w:sz w:val="20"/>
          <w:szCs w:val="20"/>
        </w:rPr>
        <w:t>ekipman</w:t>
      </w:r>
    </w:p>
    <w:p w14:paraId="000000ED">
      <w:pPr>
        <w:tabs>
          <w:tab w:val="left" w:pos="0"/>
        </w:tabs>
        <w:rPr>
          <w:sz w:val="20"/>
          <w:szCs w:val="20"/>
        </w:rPr>
      </w:pPr>
      <w:r>
        <w:rPr>
          <w:sz w:val="20"/>
          <w:szCs w:val="20"/>
        </w:rPr>
        <w:t xml:space="preserve">(1) Yüklenici, şartname gereği özgeçmişleri sunulan kilit uzmanlar dışında, sözleşmenin uygulanması kapsamında çalıştırmayı düşündüğü bütün personeli Sözleşme </w:t>
      </w:r>
      <w:r>
        <w:rPr>
          <w:sz w:val="20"/>
          <w:szCs w:val="20"/>
        </w:rPr>
        <w:t>Makamı’na</w:t>
      </w:r>
      <w:r>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000000EE">
      <w:pPr>
        <w:tabs>
          <w:tab w:val="left" w:pos="0"/>
        </w:tabs>
        <w:rPr>
          <w:sz w:val="20"/>
          <w:szCs w:val="20"/>
        </w:rPr>
      </w:pPr>
      <w:r>
        <w:rPr>
          <w:sz w:val="20"/>
          <w:szCs w:val="20"/>
        </w:rPr>
        <w:t xml:space="preserve">(2) Sözleşme </w:t>
      </w:r>
      <w:r>
        <w:rPr>
          <w:sz w:val="20"/>
          <w:szCs w:val="20"/>
        </w:rPr>
        <w:t>Makamı’nın</w:t>
      </w:r>
      <w:r>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000000EF">
      <w:pPr>
        <w:tabs>
          <w:tab w:val="left" w:pos="0"/>
        </w:tabs>
        <w:rPr>
          <w:sz w:val="20"/>
          <w:szCs w:val="20"/>
        </w:rPr>
      </w:pPr>
      <w:r>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r>
        <w:rPr>
          <w:sz w:val="20"/>
          <w:szCs w:val="20"/>
        </w:rPr>
        <w:t>Yöneticisi’ne</w:t>
      </w:r>
      <w:r>
        <w:rPr>
          <w:sz w:val="20"/>
          <w:szCs w:val="20"/>
        </w:rPr>
        <w:t xml:space="preserve"> bildirecektir. </w:t>
      </w:r>
    </w:p>
    <w:p w14:paraId="000000F0">
      <w:pPr>
        <w:tabs>
          <w:tab w:val="left" w:pos="0"/>
        </w:tabs>
        <w:rPr>
          <w:sz w:val="20"/>
          <w:szCs w:val="20"/>
        </w:rPr>
      </w:pPr>
      <w:r>
        <w:rPr>
          <w:sz w:val="20"/>
          <w:szCs w:val="20"/>
        </w:rPr>
        <w:t>(4) Yüklenici:</w:t>
      </w:r>
    </w:p>
    <w:p w14:paraId="000000F1">
      <w:pPr>
        <w:ind w:left="993" w:hanging="283"/>
        <w:rPr>
          <w:sz w:val="20"/>
          <w:szCs w:val="20"/>
        </w:rPr>
      </w:pPr>
      <w:r>
        <w:rPr>
          <w:sz w:val="20"/>
          <w:szCs w:val="20"/>
        </w:rPr>
        <w:t>a)</w:t>
      </w:r>
      <w:r>
        <w:rPr>
          <w:sz w:val="20"/>
          <w:szCs w:val="20"/>
        </w:rPr>
        <w:tab/>
        <w:t xml:space="preserve">Personele işbaşı yaptırılması için önerilen zaman çizelgesini sözleşmenin her iki tarafça imzalanmasını takip eden 7 gün içinde Proje </w:t>
      </w:r>
      <w:r>
        <w:rPr>
          <w:sz w:val="20"/>
          <w:szCs w:val="20"/>
        </w:rPr>
        <w:t>Yöneticisi’ne</w:t>
      </w:r>
      <w:r>
        <w:rPr>
          <w:sz w:val="20"/>
          <w:szCs w:val="20"/>
        </w:rPr>
        <w:t xml:space="preserve"> iletecektir;</w:t>
      </w:r>
    </w:p>
    <w:p w14:paraId="000000F2">
      <w:pPr>
        <w:ind w:left="993" w:hanging="283"/>
        <w:rPr>
          <w:sz w:val="20"/>
          <w:szCs w:val="20"/>
        </w:rPr>
      </w:pPr>
      <w:r>
        <w:rPr>
          <w:sz w:val="20"/>
          <w:szCs w:val="20"/>
        </w:rPr>
        <w:t>b)</w:t>
      </w:r>
      <w:r>
        <w:rPr>
          <w:sz w:val="20"/>
          <w:szCs w:val="20"/>
        </w:rPr>
        <w:tab/>
        <w:t xml:space="preserve">Her bir personelin geliş ve gidiş tarihlerini Proje </w:t>
      </w:r>
      <w:r>
        <w:rPr>
          <w:sz w:val="20"/>
          <w:szCs w:val="20"/>
        </w:rPr>
        <w:t>Yöneticisi’ne</w:t>
      </w:r>
      <w:r>
        <w:rPr>
          <w:sz w:val="20"/>
          <w:szCs w:val="20"/>
        </w:rPr>
        <w:t xml:space="preserve"> bildirecektir; </w:t>
      </w:r>
    </w:p>
    <w:p w14:paraId="000000F3">
      <w:pPr>
        <w:ind w:left="993" w:hanging="283"/>
        <w:rPr>
          <w:sz w:val="20"/>
          <w:szCs w:val="20"/>
        </w:rPr>
      </w:pPr>
      <w:r>
        <w:rPr>
          <w:sz w:val="20"/>
          <w:szCs w:val="20"/>
        </w:rPr>
        <w:t>c)</w:t>
      </w:r>
      <w:r>
        <w:rPr>
          <w:sz w:val="20"/>
          <w:szCs w:val="20"/>
        </w:rPr>
        <w:tab/>
        <w:t xml:space="preserve">Kilit uzman statüsünde olmayan personelin atanması için gerekli yazılı onayın verilmesine ilişkin talebini Proje </w:t>
      </w:r>
      <w:r>
        <w:rPr>
          <w:sz w:val="20"/>
          <w:szCs w:val="20"/>
        </w:rPr>
        <w:t>Yöneticisi’ne</w:t>
      </w:r>
      <w:r>
        <w:rPr>
          <w:sz w:val="20"/>
          <w:szCs w:val="20"/>
        </w:rPr>
        <w:t xml:space="preserve"> sunacaktır. </w:t>
      </w:r>
    </w:p>
    <w:p w14:paraId="000000F4">
      <w:pPr>
        <w:tabs>
          <w:tab w:val="left" w:pos="0"/>
        </w:tabs>
        <w:rPr>
          <w:sz w:val="20"/>
          <w:szCs w:val="20"/>
        </w:rPr>
      </w:pPr>
      <w:r>
        <w:rPr>
          <w:sz w:val="20"/>
          <w:szCs w:val="20"/>
        </w:rPr>
        <w:t xml:space="preserve">(5) Yüklenici, personelinin belirlenmiş görevlerini etkin ve verimli bir şekilde yapabilmeleri için gerekli </w:t>
      </w:r>
      <w:r>
        <w:rPr>
          <w:sz w:val="20"/>
          <w:szCs w:val="20"/>
        </w:rPr>
        <w:t>ekipman</w:t>
      </w:r>
      <w:r>
        <w:rPr>
          <w:sz w:val="20"/>
          <w:szCs w:val="20"/>
        </w:rPr>
        <w:t xml:space="preserve"> ve destek malzemelerinin temini ve idamesi amacıyla lüzumlu her türlü tedbiri alacaktır.</w:t>
      </w:r>
    </w:p>
    <w:p w14:paraId="000000F5">
      <w:pPr>
        <w:numPr>
          <w:ilvl w:val="0"/>
          <w:numId w:val="10"/>
        </w:numPr>
        <w:spacing w:before="120" w:beforeAutospacing="0" w:after="0" w:afterAutospacing="0" w:line="240" w:lineRule="auto"/>
        <w:jc w:val="both"/>
        <w:rPr>
          <w:b/>
          <w:sz w:val="20"/>
          <w:szCs w:val="20"/>
        </w:rPr>
      </w:pPr>
      <w:r>
        <w:rPr>
          <w:b/>
          <w:sz w:val="20"/>
          <w:szCs w:val="20"/>
        </w:rPr>
        <w:t>Personelin değiştirilmesi</w:t>
      </w:r>
    </w:p>
    <w:p w14:paraId="000000F6">
      <w:pPr>
        <w:tabs>
          <w:tab w:val="left" w:pos="0"/>
        </w:tabs>
        <w:rPr>
          <w:sz w:val="20"/>
          <w:szCs w:val="20"/>
        </w:rPr>
      </w:pPr>
      <w:r>
        <w:rPr>
          <w:sz w:val="20"/>
          <w:szCs w:val="20"/>
        </w:rPr>
        <w:t xml:space="preserve">(1) Yüklenici, Sözleşme </w:t>
      </w:r>
      <w:r>
        <w:rPr>
          <w:sz w:val="20"/>
          <w:szCs w:val="20"/>
        </w:rPr>
        <w:t>Makamı’nın</w:t>
      </w:r>
      <w:r>
        <w:rPr>
          <w:sz w:val="20"/>
          <w:szCs w:val="20"/>
        </w:rPr>
        <w:t xml:space="preserve"> önceden yazılı onayı olmaksızın, mutabık kalınmış personelde değişiklik yapmayacaktır. Yüklenici aşağıdaki durumlarda kendi </w:t>
      </w:r>
      <w:r>
        <w:rPr>
          <w:sz w:val="20"/>
          <w:szCs w:val="20"/>
        </w:rPr>
        <w:t>inisiyatifiyle</w:t>
      </w:r>
      <w:r>
        <w:rPr>
          <w:sz w:val="20"/>
          <w:szCs w:val="20"/>
        </w:rPr>
        <w:t xml:space="preserve"> personel değişikliği teklif etmelidir:</w:t>
      </w:r>
    </w:p>
    <w:p w14:paraId="000000F7">
      <w:pPr>
        <w:ind w:left="993" w:hanging="283"/>
        <w:rPr>
          <w:sz w:val="20"/>
          <w:szCs w:val="20"/>
        </w:rPr>
      </w:pPr>
      <w:r>
        <w:rPr>
          <w:sz w:val="20"/>
          <w:szCs w:val="20"/>
        </w:rPr>
        <w:t>a)</w:t>
      </w:r>
      <w:r>
        <w:rPr>
          <w:sz w:val="20"/>
          <w:szCs w:val="20"/>
        </w:rPr>
        <w:tab/>
        <w:t>Personelin ölümü, hastalanması veya kaza geçirmesi.</w:t>
      </w:r>
    </w:p>
    <w:p w14:paraId="000000F8">
      <w:pPr>
        <w:ind w:left="993" w:hanging="283"/>
        <w:rPr>
          <w:sz w:val="20"/>
          <w:szCs w:val="20"/>
        </w:rPr>
      </w:pPr>
      <w:r>
        <w:rPr>
          <w:sz w:val="20"/>
          <w:szCs w:val="20"/>
        </w:rPr>
        <w:t>b)</w:t>
      </w:r>
      <w:r>
        <w:rPr>
          <w:sz w:val="20"/>
          <w:szCs w:val="20"/>
        </w:rPr>
        <w:tab/>
        <w:t>Yüklenicinin kontrolü dışındak</w:t>
      </w:r>
      <w:r>
        <w:rPr>
          <w:sz w:val="20"/>
          <w:szCs w:val="20"/>
        </w:rPr>
        <w:t>i nedenlerle (örneğin istifa, v</w:t>
      </w:r>
      <w:r>
        <w:rPr>
          <w:sz w:val="20"/>
          <w:szCs w:val="20"/>
        </w:rPr>
        <w:t>b.) personel değişikliğinin gerekli olması.</w:t>
      </w:r>
    </w:p>
    <w:p w14:paraId="000000F9">
      <w:pPr>
        <w:tabs>
          <w:tab w:val="left" w:pos="0"/>
        </w:tabs>
        <w:rPr>
          <w:sz w:val="20"/>
          <w:szCs w:val="20"/>
        </w:rPr>
      </w:pPr>
      <w:r>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000000FA">
      <w:pPr>
        <w:tabs>
          <w:tab w:val="left" w:pos="0"/>
        </w:tabs>
        <w:rPr>
          <w:sz w:val="20"/>
          <w:szCs w:val="20"/>
        </w:rPr>
      </w:pPr>
      <w:r>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000000FB">
      <w:pPr>
        <w:tabs>
          <w:tab w:val="left" w:pos="0"/>
        </w:tabs>
        <w:rPr>
          <w:sz w:val="20"/>
          <w:szCs w:val="20"/>
        </w:rPr>
      </w:pPr>
      <w:r>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000000FC">
      <w:pPr>
        <w:tabs>
          <w:tab w:val="left" w:pos="0"/>
        </w:tabs>
        <w:jc w:val="center"/>
        <w:rPr>
          <w:b/>
          <w:sz w:val="20"/>
          <w:szCs w:val="20"/>
        </w:rPr>
      </w:pPr>
      <w:r>
        <w:rPr>
          <w:b/>
          <w:sz w:val="20"/>
          <w:szCs w:val="20"/>
        </w:rPr>
        <w:t>SÖZLEŞMENİN İFA EDİLMESİ</w:t>
      </w:r>
    </w:p>
    <w:p w14:paraId="000000FD">
      <w:pPr>
        <w:numPr>
          <w:ilvl w:val="0"/>
          <w:numId w:val="10"/>
        </w:numPr>
        <w:spacing w:before="120" w:beforeAutospacing="0" w:after="0" w:afterAutospacing="0" w:line="240" w:lineRule="auto"/>
        <w:jc w:val="both"/>
        <w:rPr>
          <w:b/>
          <w:sz w:val="20"/>
          <w:szCs w:val="20"/>
        </w:rPr>
      </w:pPr>
      <w:r>
        <w:rPr>
          <w:b/>
          <w:sz w:val="20"/>
          <w:szCs w:val="20"/>
        </w:rPr>
        <w:t>Sözleşmenin ifasında gecikmeler</w:t>
      </w:r>
    </w:p>
    <w:p w14:paraId="000000FE">
      <w:pPr>
        <w:tabs>
          <w:tab w:val="left" w:pos="0"/>
        </w:tabs>
        <w:rPr>
          <w:sz w:val="20"/>
          <w:szCs w:val="20"/>
        </w:rPr>
      </w:pPr>
      <w:r>
        <w:rPr>
          <w:sz w:val="20"/>
          <w:szCs w:val="20"/>
        </w:rPr>
        <w:t xml:space="preserve">(1) Sözleşmenin süresi içerisinde tamamlanması esastır. </w:t>
      </w:r>
      <w:r>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00000FF">
      <w:pPr>
        <w:tabs>
          <w:tab w:val="left" w:pos="0"/>
        </w:tabs>
        <w:rPr>
          <w:sz w:val="20"/>
          <w:szCs w:val="20"/>
        </w:rPr>
      </w:pPr>
      <w:r>
        <w:rPr>
          <w:sz w:val="20"/>
          <w:szCs w:val="20"/>
        </w:rPr>
        <w:t xml:space="preserve">(2) Maktu zarar-ziyan bedeline ilişkin günlük oran sözleşme bedelinin ifa süresine ait gün sayısına bölünmesi suretiyle hesaplanır. </w:t>
      </w:r>
    </w:p>
    <w:p w14:paraId="00000100">
      <w:pPr>
        <w:tabs>
          <w:tab w:val="left" w:pos="0"/>
        </w:tabs>
        <w:rPr>
          <w:sz w:val="20"/>
          <w:szCs w:val="20"/>
        </w:rPr>
      </w:pPr>
      <w:r>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14:paraId="00000101">
      <w:pPr>
        <w:numPr>
          <w:ilvl w:val="0"/>
          <w:numId w:val="10"/>
        </w:numPr>
        <w:spacing w:before="120" w:beforeAutospacing="0" w:after="0" w:afterAutospacing="0" w:line="240" w:lineRule="auto"/>
        <w:jc w:val="both"/>
        <w:rPr>
          <w:b/>
          <w:sz w:val="20"/>
          <w:szCs w:val="20"/>
        </w:rPr>
      </w:pPr>
      <w:r>
        <w:rPr>
          <w:b/>
          <w:sz w:val="20"/>
          <w:szCs w:val="20"/>
        </w:rPr>
        <w:t>Sözleşmede değişiklikler</w:t>
      </w:r>
    </w:p>
    <w:p w14:paraId="00000102">
      <w:pPr>
        <w:tabs>
          <w:tab w:val="left" w:pos="0"/>
        </w:tabs>
        <w:rPr>
          <w:sz w:val="20"/>
          <w:szCs w:val="20"/>
        </w:rPr>
      </w:pPr>
      <w:r>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r>
        <w:rPr>
          <w:sz w:val="20"/>
          <w:szCs w:val="20"/>
        </w:rPr>
        <w:t>Makamı’na</w:t>
      </w:r>
      <w:r>
        <w:rPr>
          <w:sz w:val="20"/>
          <w:szCs w:val="20"/>
        </w:rPr>
        <w:t xml:space="preserve"> sunmalıdır. Yüklenicinin somut kanıtlarla desteklediği ve Sözleşme </w:t>
      </w:r>
      <w:r>
        <w:rPr>
          <w:sz w:val="20"/>
          <w:szCs w:val="20"/>
        </w:rPr>
        <w:t>Makamı’nın</w:t>
      </w:r>
      <w:r>
        <w:rPr>
          <w:sz w:val="20"/>
          <w:szCs w:val="20"/>
        </w:rPr>
        <w:t xml:space="preserve"> da kabul ettiği değişiklik talepleri bu hükme tabi değildir.</w:t>
      </w:r>
    </w:p>
    <w:p w14:paraId="00000103">
      <w:pPr>
        <w:tabs>
          <w:tab w:val="left" w:pos="0"/>
        </w:tabs>
        <w:rPr>
          <w:sz w:val="20"/>
          <w:szCs w:val="20"/>
        </w:rPr>
      </w:pPr>
      <w:r>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r>
        <w:rPr>
          <w:sz w:val="20"/>
          <w:szCs w:val="20"/>
        </w:rPr>
        <w:t>Yöneticisi’ne</w:t>
      </w:r>
      <w:r>
        <w:rPr>
          <w:sz w:val="20"/>
          <w:szCs w:val="20"/>
        </w:rPr>
        <w:t xml:space="preserve"> aşağıdaki hususları içeren yazılı bir teklif sunacaktır: </w:t>
      </w:r>
    </w:p>
    <w:p w14:paraId="00000104">
      <w:pPr>
        <w:numPr>
          <w:ilvl w:val="0"/>
          <w:numId w:val="11"/>
        </w:numPr>
        <w:spacing w:before="120" w:beforeAutospacing="0" w:after="0" w:afterAutospacing="0" w:line="240" w:lineRule="auto"/>
        <w:jc w:val="both"/>
        <w:rPr>
          <w:sz w:val="20"/>
          <w:szCs w:val="20"/>
        </w:rPr>
      </w:pPr>
      <w:r>
        <w:rPr>
          <w:sz w:val="20"/>
          <w:szCs w:val="20"/>
        </w:rPr>
        <w:t xml:space="preserve">İfa edilecek hizmete veya alınacak tedbirlere ilişkin bir açıklama ve bir uygulama programı ve </w:t>
      </w:r>
    </w:p>
    <w:p w14:paraId="00000105">
      <w:pPr>
        <w:numPr>
          <w:ilvl w:val="0"/>
          <w:numId w:val="11"/>
        </w:numPr>
        <w:spacing w:before="120" w:beforeAutospacing="0" w:after="0" w:afterAutospacing="0" w:line="240" w:lineRule="auto"/>
        <w:jc w:val="both"/>
        <w:rPr>
          <w:sz w:val="20"/>
          <w:szCs w:val="20"/>
        </w:rPr>
      </w:pPr>
      <w:r>
        <w:rPr>
          <w:sz w:val="20"/>
          <w:szCs w:val="20"/>
        </w:rPr>
        <w:t xml:space="preserve">Sözleşme ifa programında veya Yüklenicinin sözleşme altındaki yükümlülüklerinde gerekli değişiklikler </w:t>
      </w:r>
    </w:p>
    <w:p w14:paraId="00000106">
      <w:pPr>
        <w:tabs>
          <w:tab w:val="left" w:pos="0"/>
        </w:tabs>
        <w:rPr>
          <w:sz w:val="20"/>
          <w:szCs w:val="20"/>
        </w:rPr>
      </w:pPr>
      <w:r>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00000107">
      <w:pPr>
        <w:tabs>
          <w:tab w:val="left" w:pos="0"/>
        </w:tabs>
        <w:rPr>
          <w:sz w:val="20"/>
          <w:szCs w:val="20"/>
        </w:rPr>
      </w:pPr>
      <w:r>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00000108">
      <w:pPr>
        <w:tabs>
          <w:tab w:val="left" w:pos="0"/>
        </w:tabs>
        <w:rPr>
          <w:sz w:val="20"/>
          <w:szCs w:val="20"/>
        </w:rPr>
      </w:pPr>
      <w:r>
        <w:rPr>
          <w:sz w:val="20"/>
          <w:szCs w:val="20"/>
        </w:rPr>
        <w:t xml:space="preserve">(5) Sözleşme Makamı, Proje </w:t>
      </w:r>
      <w:r>
        <w:rPr>
          <w:sz w:val="20"/>
          <w:szCs w:val="20"/>
        </w:rPr>
        <w:t>Yöneticisi’nin</w:t>
      </w:r>
      <w:r>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r>
        <w:rPr>
          <w:sz w:val="20"/>
          <w:szCs w:val="20"/>
        </w:rPr>
        <w:t>Makamı’na</w:t>
      </w:r>
      <w:r>
        <w:rPr>
          <w:sz w:val="20"/>
          <w:szCs w:val="20"/>
        </w:rPr>
        <w:t xml:space="preserve"> yazılı olarak bildirecektir. Sözleşme Makamı, Yüklenicinin seçtiği banka hesabına veya denetçiye itiraz etme hakkına sahiptir.</w:t>
      </w:r>
    </w:p>
    <w:p w14:paraId="00000109">
      <w:pPr>
        <w:tabs>
          <w:tab w:val="left" w:pos="0"/>
        </w:tabs>
        <w:rPr>
          <w:sz w:val="20"/>
          <w:szCs w:val="20"/>
        </w:rPr>
      </w:pPr>
      <w:r>
        <w:rPr>
          <w:sz w:val="20"/>
          <w:szCs w:val="20"/>
        </w:rPr>
        <w:t xml:space="preserve">(6) Sözleşme </w:t>
      </w:r>
      <w:r>
        <w:rPr>
          <w:sz w:val="20"/>
          <w:szCs w:val="20"/>
        </w:rPr>
        <w:t>Makamı’nın</w:t>
      </w:r>
      <w:r>
        <w:rPr>
          <w:sz w:val="20"/>
          <w:szCs w:val="20"/>
        </w:rPr>
        <w:t xml:space="preserve"> sözleşmede belirtilen banka hesabına yaptığı ödemeler onun bu konudaki sorumluluğunu ortadan kaldırmış olarak addedilecektir.</w:t>
      </w:r>
    </w:p>
    <w:p w14:paraId="0000010A">
      <w:pPr>
        <w:tabs>
          <w:tab w:val="left" w:pos="0"/>
        </w:tabs>
        <w:rPr>
          <w:sz w:val="20"/>
          <w:szCs w:val="20"/>
        </w:rPr>
      </w:pPr>
      <w:r>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14:paraId="0000010B">
      <w:pPr>
        <w:numPr>
          <w:ilvl w:val="0"/>
          <w:numId w:val="10"/>
        </w:numPr>
        <w:spacing w:before="120" w:beforeAutospacing="0" w:after="0" w:afterAutospacing="0" w:line="240" w:lineRule="auto"/>
        <w:jc w:val="both"/>
        <w:rPr>
          <w:b/>
          <w:sz w:val="20"/>
          <w:szCs w:val="20"/>
        </w:rPr>
      </w:pPr>
      <w:r>
        <w:rPr>
          <w:b/>
          <w:sz w:val="20"/>
          <w:szCs w:val="20"/>
        </w:rPr>
        <w:t>Çalışma saatleri</w:t>
      </w:r>
    </w:p>
    <w:p w14:paraId="0000010C">
      <w:pPr>
        <w:tabs>
          <w:tab w:val="left" w:pos="0"/>
        </w:tabs>
        <w:rPr>
          <w:sz w:val="20"/>
          <w:szCs w:val="20"/>
        </w:rPr>
      </w:pPr>
      <w:r>
        <w:rPr>
          <w:sz w:val="20"/>
          <w:szCs w:val="20"/>
        </w:rPr>
        <w:t>(1) Yüklenicinin veya Yüklenici personelinin çalışma günleri ve saatleri işin gerektirdiği şartlara ve yasa, yönetmelik ve teamüllerine göre belirlenecektir.</w:t>
      </w:r>
    </w:p>
    <w:p w14:paraId="0000010D">
      <w:pPr>
        <w:tabs>
          <w:tab w:val="left" w:pos="0"/>
        </w:tabs>
        <w:rPr>
          <w:sz w:val="20"/>
          <w:szCs w:val="20"/>
        </w:rPr>
      </w:pPr>
      <w:r>
        <w:rPr>
          <w:sz w:val="20"/>
          <w:szCs w:val="20"/>
        </w:rPr>
        <w:t xml:space="preserve">(2) Yüklenici çalışma saatlerini kendi </w:t>
      </w:r>
      <w:r>
        <w:rPr>
          <w:sz w:val="20"/>
          <w:szCs w:val="20"/>
        </w:rPr>
        <w:t>inisiyatifiyle</w:t>
      </w:r>
      <w:r>
        <w:rPr>
          <w:sz w:val="20"/>
          <w:szCs w:val="20"/>
        </w:rPr>
        <w:t xml:space="preserve"> değiştiremez. Çalışma saatlerinin, Sözleşme Makamının çalışma saatleriyle uyumlu olması ve olası değişikliklerde Sözleşme Makamının onayının alınması zorunludur.</w:t>
      </w:r>
    </w:p>
    <w:p w14:paraId="0000010E">
      <w:pPr>
        <w:tabs>
          <w:tab w:val="left" w:pos="0"/>
        </w:tabs>
        <w:rPr>
          <w:sz w:val="20"/>
          <w:szCs w:val="20"/>
        </w:rPr>
      </w:pPr>
    </w:p>
    <w:p w14:paraId="0000010F">
      <w:pPr>
        <w:tabs>
          <w:tab w:val="left" w:pos="0"/>
        </w:tabs>
        <w:rPr>
          <w:sz w:val="20"/>
          <w:szCs w:val="20"/>
        </w:rPr>
      </w:pPr>
    </w:p>
    <w:p w14:paraId="00000110">
      <w:pPr>
        <w:numPr>
          <w:ilvl w:val="0"/>
          <w:numId w:val="10"/>
        </w:numPr>
        <w:spacing w:before="120" w:beforeAutospacing="0" w:after="0" w:afterAutospacing="0" w:line="240" w:lineRule="auto"/>
        <w:jc w:val="both"/>
        <w:rPr>
          <w:b/>
          <w:sz w:val="20"/>
          <w:szCs w:val="20"/>
        </w:rPr>
      </w:pPr>
      <w:r>
        <w:rPr>
          <w:b/>
          <w:sz w:val="20"/>
          <w:szCs w:val="20"/>
        </w:rPr>
        <w:t>İzinler</w:t>
      </w:r>
    </w:p>
    <w:p w14:paraId="00000111">
      <w:pPr>
        <w:tabs>
          <w:tab w:val="left" w:pos="0"/>
        </w:tabs>
        <w:rPr>
          <w:sz w:val="20"/>
          <w:szCs w:val="20"/>
        </w:rPr>
      </w:pPr>
      <w:r>
        <w:rPr>
          <w:sz w:val="20"/>
          <w:szCs w:val="20"/>
        </w:rPr>
        <w:t xml:space="preserve">(1) Sözleşmenin uygulama süresi sırasında Yüklenici tarafından uzmanları ya da kilit personeli için alınacak yıllık izinler Proje </w:t>
      </w:r>
      <w:r>
        <w:rPr>
          <w:sz w:val="20"/>
          <w:szCs w:val="20"/>
        </w:rPr>
        <w:t>Yöneticisi’nin</w:t>
      </w:r>
      <w:r>
        <w:rPr>
          <w:sz w:val="20"/>
          <w:szCs w:val="20"/>
        </w:rPr>
        <w:t xml:space="preserve"> onaylayacağı bir zamanda kullanılmak zorundadır.</w:t>
      </w:r>
    </w:p>
    <w:p w14:paraId="00000112">
      <w:pPr>
        <w:numPr>
          <w:ilvl w:val="0"/>
          <w:numId w:val="10"/>
        </w:numPr>
        <w:spacing w:before="120" w:beforeAutospacing="0" w:after="0" w:afterAutospacing="0" w:line="240" w:lineRule="auto"/>
        <w:jc w:val="both"/>
        <w:rPr>
          <w:b/>
          <w:sz w:val="20"/>
          <w:szCs w:val="20"/>
        </w:rPr>
      </w:pPr>
      <w:r>
        <w:rPr>
          <w:b/>
          <w:sz w:val="20"/>
          <w:szCs w:val="20"/>
        </w:rPr>
        <w:t>Kayıtlar</w:t>
      </w:r>
    </w:p>
    <w:p w14:paraId="00000113">
      <w:pPr>
        <w:tabs>
          <w:tab w:val="left" w:pos="0"/>
        </w:tabs>
        <w:rPr>
          <w:sz w:val="20"/>
          <w:szCs w:val="20"/>
        </w:rPr>
      </w:pPr>
      <w:r>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00000114">
      <w:pPr>
        <w:tabs>
          <w:tab w:val="left" w:pos="0"/>
        </w:tabs>
        <w:rPr>
          <w:sz w:val="20"/>
          <w:szCs w:val="20"/>
        </w:rPr>
      </w:pPr>
      <w:r>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r>
        <w:rPr>
          <w:sz w:val="20"/>
          <w:szCs w:val="20"/>
        </w:rPr>
        <w:t>Makamı’nın</w:t>
      </w:r>
      <w:r>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r>
        <w:rPr>
          <w:sz w:val="20"/>
          <w:szCs w:val="20"/>
        </w:rPr>
        <w:t>dahil</w:t>
      </w:r>
      <w:r>
        <w:rPr>
          <w:sz w:val="20"/>
          <w:szCs w:val="20"/>
        </w:rPr>
        <w:t xml:space="preserve"> edilebilir.</w:t>
      </w:r>
    </w:p>
    <w:p w14:paraId="00000115">
      <w:pPr>
        <w:tabs>
          <w:tab w:val="left" w:pos="0"/>
        </w:tabs>
        <w:rPr>
          <w:sz w:val="20"/>
          <w:szCs w:val="20"/>
        </w:rPr>
      </w:pPr>
      <w:r>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r>
        <w:rPr>
          <w:sz w:val="20"/>
          <w:szCs w:val="20"/>
        </w:rPr>
        <w:t>dahil</w:t>
      </w:r>
      <w:r>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00000116">
      <w:pPr>
        <w:tabs>
          <w:tab w:val="left" w:pos="0"/>
        </w:tabs>
        <w:rPr>
          <w:sz w:val="20"/>
          <w:szCs w:val="20"/>
        </w:rPr>
      </w:pPr>
      <w:r>
        <w:rPr>
          <w:sz w:val="20"/>
          <w:szCs w:val="20"/>
        </w:rPr>
        <w:t xml:space="preserve">(4) Yüklenici, Proje </w:t>
      </w:r>
      <w:r>
        <w:rPr>
          <w:sz w:val="20"/>
          <w:szCs w:val="20"/>
        </w:rPr>
        <w:t>Yöneticisi’ne</w:t>
      </w:r>
      <w:r>
        <w:rPr>
          <w:sz w:val="20"/>
          <w:szCs w:val="20"/>
        </w:rPr>
        <w:t xml:space="preserve"> veya Sözleşme </w:t>
      </w:r>
      <w:r>
        <w:rPr>
          <w:sz w:val="20"/>
          <w:szCs w:val="20"/>
        </w:rPr>
        <w:t>Makamı’nın</w:t>
      </w:r>
      <w:r>
        <w:rPr>
          <w:sz w:val="20"/>
          <w:szCs w:val="20"/>
        </w:rPr>
        <w:t xml:space="preserve"> yetkilendirdiği herhangi bir kişiye veya Sözleşme </w:t>
      </w:r>
      <w:r>
        <w:rPr>
          <w:sz w:val="20"/>
          <w:szCs w:val="20"/>
        </w:rPr>
        <w:t>Makamı’nın</w:t>
      </w:r>
      <w:r>
        <w:rPr>
          <w:sz w:val="20"/>
          <w:szCs w:val="20"/>
        </w:rPr>
        <w:t xml:space="preserve"> kendisine ve </w:t>
      </w:r>
      <w:r>
        <w:rPr>
          <w:sz w:val="20"/>
          <w:szCs w:val="20"/>
        </w:rPr>
        <w:t>Karacadağ Kalkınma Ajansı</w:t>
      </w:r>
      <w:r>
        <w:rPr>
          <w:sz w:val="20"/>
          <w:szCs w:val="20"/>
        </w:rPr>
        <w:t xml:space="preserve">’na gerek işin temini sırasında ve gerekse sonrasında işle ilgili kayıt ve hesapları inceleme veya denetleme ve bunların kopyalarını alma imkânını tanıyacaktır. </w:t>
      </w:r>
    </w:p>
    <w:p w14:paraId="00000117">
      <w:pPr>
        <w:numPr>
          <w:ilvl w:val="0"/>
          <w:numId w:val="10"/>
        </w:numPr>
        <w:spacing w:before="120" w:beforeAutospacing="0" w:after="0" w:afterAutospacing="0" w:line="240" w:lineRule="auto"/>
        <w:jc w:val="both"/>
        <w:rPr>
          <w:b/>
          <w:sz w:val="20"/>
          <w:szCs w:val="20"/>
        </w:rPr>
      </w:pPr>
      <w:r>
        <w:rPr>
          <w:b/>
          <w:sz w:val="20"/>
          <w:szCs w:val="20"/>
        </w:rPr>
        <w:t>Adli ve idari mercilerce yapılacak incelemeler</w:t>
      </w:r>
    </w:p>
    <w:p w14:paraId="00000118">
      <w:pPr>
        <w:tabs>
          <w:tab w:val="left" w:pos="0"/>
        </w:tabs>
        <w:rPr>
          <w:sz w:val="20"/>
          <w:szCs w:val="20"/>
        </w:rPr>
      </w:pPr>
      <w:r>
        <w:rPr>
          <w:sz w:val="20"/>
          <w:szCs w:val="20"/>
        </w:rPr>
        <w:t xml:space="preserve">(1) Yüklenici, adli ve idari mercilerin kolaylıkla inceleme yapabilmeleri için dokümanları çabuk erişilebilir ve dosyalanmış şekilde tutacaktır. </w:t>
      </w:r>
    </w:p>
    <w:p w14:paraId="00000119">
      <w:pPr>
        <w:tabs>
          <w:tab w:val="left" w:pos="0"/>
        </w:tabs>
        <w:rPr>
          <w:sz w:val="20"/>
          <w:szCs w:val="20"/>
        </w:rPr>
      </w:pPr>
      <w:r>
        <w:rPr>
          <w:sz w:val="20"/>
          <w:szCs w:val="20"/>
        </w:rPr>
        <w:t>(2) Yüklenici, adli ve idari merciler tarafından gerçekleştirilecek incelemelerde, görevlilere gerekli kolaylığı sağlayacak, talep edilen bilgi ve belgeleri zamanında temin edecektir.</w:t>
      </w:r>
    </w:p>
    <w:p w14:paraId="0000011A">
      <w:pPr>
        <w:numPr>
          <w:ilvl w:val="0"/>
          <w:numId w:val="10"/>
        </w:numPr>
        <w:spacing w:before="120" w:beforeAutospacing="0" w:after="0" w:afterAutospacing="0" w:line="240" w:lineRule="auto"/>
        <w:jc w:val="both"/>
        <w:rPr>
          <w:b/>
          <w:sz w:val="20"/>
          <w:szCs w:val="20"/>
        </w:rPr>
      </w:pPr>
      <w:r>
        <w:rPr>
          <w:b/>
          <w:sz w:val="20"/>
          <w:szCs w:val="20"/>
        </w:rPr>
        <w:t>Ara ve nihai raporlar</w:t>
      </w:r>
    </w:p>
    <w:p w14:paraId="0000011B">
      <w:pPr>
        <w:tabs>
          <w:tab w:val="left" w:pos="0"/>
        </w:tabs>
        <w:rPr>
          <w:sz w:val="20"/>
          <w:szCs w:val="20"/>
        </w:rPr>
      </w:pPr>
      <w:r>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0000011C">
      <w:pPr>
        <w:tabs>
          <w:tab w:val="left" w:pos="0"/>
        </w:tabs>
        <w:rPr>
          <w:sz w:val="20"/>
          <w:szCs w:val="20"/>
        </w:rPr>
      </w:pPr>
      <w:r>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14:paraId="0000011D">
      <w:pPr>
        <w:tabs>
          <w:tab w:val="left" w:pos="0"/>
        </w:tabs>
        <w:rPr>
          <w:sz w:val="20"/>
          <w:szCs w:val="20"/>
        </w:rPr>
      </w:pPr>
      <w:r>
        <w:rPr>
          <w:sz w:val="20"/>
          <w:szCs w:val="20"/>
        </w:rPr>
        <w:t xml:space="preserve">(3) Bu nihai rapor, sözleşme ifa süresinin sona ermesinden itibaren en geç 30 gün içinde Proje </w:t>
      </w:r>
      <w:r>
        <w:rPr>
          <w:sz w:val="20"/>
          <w:szCs w:val="20"/>
        </w:rPr>
        <w:t>Yöneticisi’ne</w:t>
      </w:r>
      <w:r>
        <w:rPr>
          <w:sz w:val="20"/>
          <w:szCs w:val="20"/>
        </w:rPr>
        <w:t xml:space="preserve"> iletilecektir. Sözleşme Makamını bağlamayacaktır.</w:t>
      </w:r>
    </w:p>
    <w:p w14:paraId="0000011E">
      <w:pPr>
        <w:tabs>
          <w:tab w:val="left" w:pos="0"/>
        </w:tabs>
        <w:rPr>
          <w:sz w:val="20"/>
          <w:szCs w:val="20"/>
        </w:rPr>
      </w:pPr>
      <w:r>
        <w:rPr>
          <w:sz w:val="20"/>
          <w:szCs w:val="20"/>
        </w:rPr>
        <w:t>(4) Sözleşmenin safhalar halinde ifa edildiği durumlarda, her bir safhanın ifa edilmesi üzerine Yüklenici bir kesin hak</w:t>
      </w:r>
      <w:r>
        <w:rPr>
          <w:sz w:val="20"/>
          <w:szCs w:val="20"/>
        </w:rPr>
        <w:t xml:space="preserve"> </w:t>
      </w:r>
      <w:r>
        <w:rPr>
          <w:sz w:val="20"/>
          <w:szCs w:val="20"/>
        </w:rPr>
        <w:t>ediş raporu düzenleyecektir.</w:t>
      </w:r>
    </w:p>
    <w:p w14:paraId="0000011F">
      <w:pPr>
        <w:numPr>
          <w:ilvl w:val="0"/>
          <w:numId w:val="10"/>
        </w:numPr>
        <w:spacing w:before="120" w:beforeAutospacing="0" w:after="0" w:afterAutospacing="0" w:line="240" w:lineRule="auto"/>
        <w:jc w:val="both"/>
        <w:rPr>
          <w:b/>
          <w:sz w:val="20"/>
          <w:szCs w:val="20"/>
        </w:rPr>
      </w:pPr>
      <w:r>
        <w:rPr>
          <w:b/>
          <w:sz w:val="20"/>
          <w:szCs w:val="20"/>
        </w:rPr>
        <w:t>Raporların ve dokümanların onaylanması</w:t>
      </w:r>
    </w:p>
    <w:p w14:paraId="00000120">
      <w:pPr>
        <w:tabs>
          <w:tab w:val="left" w:pos="0"/>
        </w:tabs>
        <w:rPr>
          <w:sz w:val="20"/>
          <w:szCs w:val="20"/>
        </w:rPr>
      </w:pPr>
      <w:r>
        <w:rPr>
          <w:sz w:val="20"/>
          <w:szCs w:val="20"/>
        </w:rPr>
        <w:t>(1) Yüklenici tarafından hazırlanıp iletilen raporların ve dokümanların Sözleşme Makamı tarafından onaylanması bunların sözleşme şartlarına uygun olduğunun tasdik edildiği anlamına gelecektir.</w:t>
      </w:r>
    </w:p>
    <w:p w14:paraId="00000121">
      <w:pPr>
        <w:tabs>
          <w:tab w:val="left" w:pos="0"/>
        </w:tabs>
        <w:rPr>
          <w:sz w:val="20"/>
          <w:szCs w:val="20"/>
        </w:rPr>
      </w:pPr>
      <w:r>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00000122">
      <w:pPr>
        <w:tabs>
          <w:tab w:val="left" w:pos="0"/>
        </w:tabs>
        <w:rPr>
          <w:sz w:val="20"/>
          <w:szCs w:val="20"/>
        </w:rPr>
      </w:pPr>
      <w:r>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00000123">
      <w:pPr>
        <w:tabs>
          <w:tab w:val="left" w:pos="0"/>
        </w:tabs>
        <w:rPr>
          <w:sz w:val="20"/>
          <w:szCs w:val="20"/>
        </w:rPr>
      </w:pPr>
      <w:r>
        <w:rPr>
          <w:sz w:val="20"/>
          <w:szCs w:val="20"/>
        </w:rPr>
        <w:t xml:space="preserve">(4) Sözleşmenin safhalar halinde ifa edildiği durumlarda, bu safhaların eş zamanlı olarak yürütüldüğü haller hariç olmak üzere, her bir safhanın ifa edilmesi Sözleşme </w:t>
      </w:r>
      <w:r>
        <w:rPr>
          <w:sz w:val="20"/>
          <w:szCs w:val="20"/>
        </w:rPr>
        <w:t>Makamı’nın</w:t>
      </w:r>
      <w:r>
        <w:rPr>
          <w:sz w:val="20"/>
          <w:szCs w:val="20"/>
        </w:rPr>
        <w:t xml:space="preserve"> bir önceki safhayı onaylamasına tabi bulunacaktır.</w:t>
      </w:r>
    </w:p>
    <w:p w14:paraId="00000124">
      <w:pPr>
        <w:tabs>
          <w:tab w:val="left" w:pos="0"/>
        </w:tabs>
        <w:jc w:val="center"/>
        <w:rPr>
          <w:b/>
          <w:sz w:val="20"/>
          <w:szCs w:val="20"/>
        </w:rPr>
      </w:pPr>
      <w:r>
        <w:rPr>
          <w:b/>
          <w:sz w:val="20"/>
          <w:szCs w:val="20"/>
        </w:rPr>
        <w:t>ÖDEMELER VE BORÇ TUTARLARININ TAHSİLİ</w:t>
      </w:r>
    </w:p>
    <w:p w14:paraId="00000125">
      <w:pPr>
        <w:numPr>
          <w:ilvl w:val="0"/>
          <w:numId w:val="10"/>
        </w:numPr>
        <w:spacing w:before="120" w:beforeAutospacing="0" w:after="0" w:afterAutospacing="0" w:line="240" w:lineRule="auto"/>
        <w:jc w:val="both"/>
        <w:rPr>
          <w:b/>
          <w:sz w:val="20"/>
          <w:szCs w:val="20"/>
        </w:rPr>
      </w:pPr>
      <w:r>
        <w:rPr>
          <w:b/>
          <w:sz w:val="20"/>
          <w:szCs w:val="20"/>
        </w:rPr>
        <w:t>Ön Ödeme ve Ödemeler</w:t>
      </w:r>
    </w:p>
    <w:p w14:paraId="00000126">
      <w:pPr>
        <w:tabs>
          <w:tab w:val="left" w:pos="0"/>
        </w:tabs>
        <w:rPr>
          <w:sz w:val="20"/>
          <w:szCs w:val="20"/>
        </w:rPr>
      </w:pPr>
      <w:r>
        <w:rPr>
          <w:sz w:val="20"/>
          <w:szCs w:val="20"/>
        </w:rPr>
        <w:t xml:space="preserve">(1) Sözleşmenin Özel Koşullarında açıkça belirtilmek kaydıyla ön ödeme yapılabilir. Bu durumda Yüklenici ön ödeme tutarı kadar avans teminat mektubu sunacaktır. </w:t>
      </w:r>
    </w:p>
    <w:p w14:paraId="00000127">
      <w:pPr>
        <w:tabs>
          <w:tab w:val="left" w:pos="0"/>
        </w:tabs>
        <w:rPr>
          <w:sz w:val="20"/>
          <w:szCs w:val="20"/>
        </w:rPr>
      </w:pPr>
      <w:r>
        <w:rPr>
          <w:sz w:val="20"/>
          <w:szCs w:val="20"/>
        </w:rPr>
        <w:t>(2) Yapım işi ve hizmet alımı sözleşmelerinde ödemeler hak</w:t>
      </w:r>
      <w:r>
        <w:rPr>
          <w:sz w:val="20"/>
          <w:szCs w:val="20"/>
        </w:rPr>
        <w:t xml:space="preserve"> </w:t>
      </w:r>
      <w:r>
        <w:rPr>
          <w:sz w:val="20"/>
          <w:szCs w:val="20"/>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00000128">
      <w:pPr>
        <w:tabs>
          <w:tab w:val="left" w:pos="0"/>
        </w:tabs>
        <w:rPr>
          <w:sz w:val="20"/>
          <w:szCs w:val="20"/>
        </w:rPr>
      </w:pPr>
      <w:r>
        <w:rPr>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14:paraId="00000129">
      <w:pPr>
        <w:numPr>
          <w:ilvl w:val="0"/>
          <w:numId w:val="10"/>
        </w:numPr>
        <w:spacing w:before="120" w:beforeAutospacing="0" w:after="0" w:afterAutospacing="0" w:line="240" w:lineRule="auto"/>
        <w:jc w:val="both"/>
        <w:rPr>
          <w:b/>
          <w:sz w:val="20"/>
          <w:szCs w:val="20"/>
        </w:rPr>
      </w:pPr>
      <w:r>
        <w:rPr>
          <w:b/>
          <w:sz w:val="20"/>
          <w:szCs w:val="20"/>
        </w:rPr>
        <w:t>Giderlerin incelenmesi ve doğrulanması</w:t>
      </w:r>
    </w:p>
    <w:p w14:paraId="0000012A">
      <w:pPr>
        <w:tabs>
          <w:tab w:val="left" w:pos="0"/>
        </w:tabs>
        <w:rPr>
          <w:sz w:val="20"/>
          <w:szCs w:val="20"/>
        </w:rPr>
      </w:pPr>
      <w:r>
        <w:rPr>
          <w:sz w:val="20"/>
          <w:szCs w:val="20"/>
        </w:rPr>
        <w:t xml:space="preserve">(1) İhtiyaç görmesi halinde </w:t>
      </w:r>
      <w:r>
        <w:rPr>
          <w:sz w:val="20"/>
          <w:szCs w:val="20"/>
        </w:rPr>
        <w:t>Karacadağ Kalkınma Ajansı</w:t>
      </w:r>
      <w:r>
        <w:rPr>
          <w:sz w:val="20"/>
          <w:szCs w:val="20"/>
        </w:rPr>
        <w:t xml:space="preserve">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0000012B">
      <w:pPr>
        <w:tabs>
          <w:tab w:val="left" w:pos="0"/>
        </w:tabs>
        <w:rPr>
          <w:sz w:val="20"/>
          <w:szCs w:val="20"/>
        </w:rPr>
      </w:pPr>
      <w:r>
        <w:rPr>
          <w:sz w:val="20"/>
          <w:szCs w:val="20"/>
        </w:rPr>
        <w:t>(2) Yüklenici, denetçiye inceleme yapabilmesi için bütün giriş ve erişim haklarını tanıyacaktır.</w:t>
      </w:r>
    </w:p>
    <w:p w14:paraId="0000012C">
      <w:pPr>
        <w:tabs>
          <w:tab w:val="left" w:pos="0"/>
        </w:tabs>
        <w:rPr>
          <w:sz w:val="20"/>
          <w:szCs w:val="20"/>
        </w:rPr>
      </w:pPr>
      <w:r>
        <w:rPr>
          <w:sz w:val="20"/>
          <w:szCs w:val="20"/>
        </w:rPr>
        <w:t xml:space="preserve">(3) Yapılan incelemede, usule aykırılığın tespiti halinde </w:t>
      </w:r>
      <w:r>
        <w:rPr>
          <w:sz w:val="20"/>
          <w:szCs w:val="20"/>
        </w:rPr>
        <w:t>Karacadağ Kalkınma Ajansı</w:t>
      </w:r>
      <w:r>
        <w:rPr>
          <w:sz w:val="20"/>
          <w:szCs w:val="20"/>
        </w:rPr>
        <w:t xml:space="preserve"> gereken hukuki yollara başvurur. </w:t>
      </w:r>
    </w:p>
    <w:p w14:paraId="0000012D">
      <w:pPr>
        <w:numPr>
          <w:ilvl w:val="0"/>
          <w:numId w:val="10"/>
        </w:numPr>
        <w:spacing w:before="120" w:beforeAutospacing="0" w:after="0" w:afterAutospacing="0" w:line="240" w:lineRule="auto"/>
        <w:jc w:val="both"/>
        <w:rPr>
          <w:b/>
          <w:sz w:val="20"/>
          <w:szCs w:val="20"/>
        </w:rPr>
      </w:pPr>
      <w:r>
        <w:rPr>
          <w:b/>
          <w:sz w:val="20"/>
          <w:szCs w:val="20"/>
        </w:rPr>
        <w:t>Ödemeler ve geç ödemeye tahakkuk ettirilecek faiz</w:t>
      </w:r>
    </w:p>
    <w:p w14:paraId="0000012E">
      <w:pPr>
        <w:tabs>
          <w:tab w:val="left" w:pos="0"/>
        </w:tabs>
        <w:rPr>
          <w:sz w:val="20"/>
          <w:szCs w:val="20"/>
        </w:rPr>
      </w:pPr>
      <w:r>
        <w:rPr>
          <w:sz w:val="20"/>
          <w:szCs w:val="20"/>
        </w:rPr>
        <w:t xml:space="preserve">(1) Sözleşme Makamının geç ödeme yapması halinde Yüklenici, geç ödeme için son tarihin sona erdiği ayın ilk gününde uygulanan Türkiye Cumhuriyet Merkez Bankasının uyguladığı </w:t>
      </w:r>
      <w:r>
        <w:rPr>
          <w:sz w:val="20"/>
          <w:szCs w:val="20"/>
        </w:rPr>
        <w:t>reeskont</w:t>
      </w:r>
      <w:r>
        <w:rPr>
          <w:sz w:val="20"/>
          <w:szCs w:val="20"/>
        </w:rPr>
        <w:t xml:space="preserve"> faizine 3 puan ilave ederek hesaplanacak nispette ödeme faizi talep edebilir.</w:t>
      </w:r>
    </w:p>
    <w:p w14:paraId="0000012F">
      <w:pPr>
        <w:tabs>
          <w:tab w:val="left" w:pos="0"/>
        </w:tabs>
        <w:rPr>
          <w:sz w:val="20"/>
          <w:szCs w:val="20"/>
        </w:rPr>
      </w:pPr>
      <w:r>
        <w:rPr>
          <w:sz w:val="20"/>
          <w:szCs w:val="20"/>
        </w:rPr>
        <w:t>Geç ödeme faizi, ödeme son tarihi (</w:t>
      </w:r>
      <w:r>
        <w:rPr>
          <w:sz w:val="20"/>
          <w:szCs w:val="20"/>
        </w:rPr>
        <w:t>dahil</w:t>
      </w:r>
      <w:r>
        <w:rPr>
          <w:sz w:val="20"/>
          <w:szCs w:val="20"/>
        </w:rPr>
        <w:t>) ile Sözleşme Makamının hesabının borçlandırıldığı tarih (hariç) arasında geçen süre için geçerli olacaktır.</w:t>
      </w:r>
    </w:p>
    <w:p w14:paraId="00000130">
      <w:pPr>
        <w:tabs>
          <w:tab w:val="left" w:pos="0"/>
        </w:tabs>
        <w:rPr>
          <w:sz w:val="20"/>
          <w:szCs w:val="20"/>
        </w:rPr>
      </w:pPr>
      <w:r>
        <w:rPr>
          <w:sz w:val="20"/>
          <w:szCs w:val="20"/>
        </w:rPr>
        <w:t xml:space="preserve">(2) Sözleşme </w:t>
      </w:r>
      <w:r>
        <w:rPr>
          <w:sz w:val="20"/>
          <w:szCs w:val="20"/>
        </w:rPr>
        <w:t>Makamı’nın</w:t>
      </w:r>
      <w:r>
        <w:rPr>
          <w:sz w:val="20"/>
          <w:szCs w:val="20"/>
        </w:rPr>
        <w:t xml:space="preserve"> yapacağı ödemeler Yüklenicinin bildireceği banka hesabına yatırılacaktır.</w:t>
      </w:r>
    </w:p>
    <w:p w14:paraId="00000131">
      <w:pPr>
        <w:tabs>
          <w:tab w:val="left" w:pos="0"/>
        </w:tabs>
        <w:rPr>
          <w:sz w:val="20"/>
          <w:szCs w:val="20"/>
        </w:rPr>
      </w:pPr>
      <w:r>
        <w:rPr>
          <w:sz w:val="20"/>
          <w:szCs w:val="20"/>
        </w:rPr>
        <w:t xml:space="preserve">(3) Hizmet alımı sözleşmelerinde, ödeme taleplerinde faturalarla birlikte ilgili çalışma zamanı çizelgelerinin kopyası veya </w:t>
      </w:r>
      <w:r>
        <w:rPr>
          <w:sz w:val="20"/>
          <w:szCs w:val="20"/>
        </w:rPr>
        <w:t>ekstresi</w:t>
      </w:r>
      <w:r>
        <w:rPr>
          <w:sz w:val="20"/>
          <w:szCs w:val="20"/>
        </w:rPr>
        <w:t xml:space="preserve"> de sunulmalı ve böylelikle uzmanların harcadıkları zaman için faturalandırılan tutar açıklanmış olmalıdır. </w:t>
      </w:r>
    </w:p>
    <w:p w14:paraId="00000132">
      <w:pPr>
        <w:tabs>
          <w:tab w:val="left" w:pos="0"/>
        </w:tabs>
        <w:rPr>
          <w:sz w:val="20"/>
          <w:szCs w:val="20"/>
        </w:rPr>
      </w:pPr>
      <w:r>
        <w:rPr>
          <w:sz w:val="20"/>
          <w:szCs w:val="20"/>
        </w:rPr>
        <w:t xml:space="preserve">(4) Son bakiyenin ödenmesi, Yüklenicinin işin bütün safhalarının veya kısımlarının yürütülmesine ilişkin tüm yükümlülüklerini yerine getirmiş olmasına ve Sözleşme </w:t>
      </w:r>
      <w:r>
        <w:rPr>
          <w:sz w:val="20"/>
          <w:szCs w:val="20"/>
        </w:rPr>
        <w:t>Makamı’nın</w:t>
      </w:r>
      <w:r>
        <w:rPr>
          <w:sz w:val="20"/>
          <w:szCs w:val="20"/>
        </w:rPr>
        <w:t xml:space="preserve"> işin son safhasını veya kısmını onaylamış olmasına bağlıdır. Son ödeme ancak kesin/son hak</w:t>
      </w:r>
      <w:r>
        <w:rPr>
          <w:sz w:val="20"/>
          <w:szCs w:val="20"/>
        </w:rPr>
        <w:t xml:space="preserve"> </w:t>
      </w:r>
      <w:r>
        <w:rPr>
          <w:sz w:val="20"/>
          <w:szCs w:val="20"/>
        </w:rPr>
        <w:t>ediş raporunun ve kesin hesabın Yüklenici tarafından sunulması ve bunların Sözleşme Makamı tarafından yeterli addedilerek onaylanması üzerine yapılacaktır.</w:t>
      </w:r>
    </w:p>
    <w:p w14:paraId="00000133">
      <w:pPr>
        <w:tabs>
          <w:tab w:val="left" w:pos="0"/>
        </w:tabs>
        <w:rPr>
          <w:sz w:val="20"/>
          <w:szCs w:val="20"/>
        </w:rPr>
      </w:pPr>
      <w:r>
        <w:rPr>
          <w:sz w:val="20"/>
          <w:szCs w:val="20"/>
        </w:rPr>
        <w:t xml:space="preserve">(5) Sözleşme, kesin kabul onay belgesi imzalanana kadar tamamlanmış sayılmaz. </w:t>
      </w:r>
    </w:p>
    <w:p w14:paraId="00000134">
      <w:pPr>
        <w:tabs>
          <w:tab w:val="left" w:pos="0"/>
        </w:tabs>
        <w:rPr>
          <w:sz w:val="20"/>
          <w:szCs w:val="20"/>
        </w:rPr>
      </w:pPr>
      <w:r>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00000135">
      <w:pPr>
        <w:ind w:left="993" w:hanging="283"/>
        <w:rPr>
          <w:sz w:val="20"/>
          <w:szCs w:val="20"/>
        </w:rPr>
      </w:pPr>
      <w:r>
        <w:rPr>
          <w:sz w:val="20"/>
          <w:szCs w:val="20"/>
        </w:rPr>
        <w:t>a)</w:t>
      </w:r>
      <w:r>
        <w:rPr>
          <w:sz w:val="20"/>
          <w:szCs w:val="20"/>
        </w:rPr>
        <w:tab/>
        <w:t xml:space="preserve">Yüklenicinin sözleşmeyi ifa etmekte temerrüde düşmesi;       </w:t>
      </w:r>
    </w:p>
    <w:p w14:paraId="00000136">
      <w:pPr>
        <w:ind w:left="993" w:hanging="283"/>
        <w:rPr>
          <w:sz w:val="20"/>
          <w:szCs w:val="20"/>
        </w:rPr>
      </w:pPr>
      <w:r>
        <w:rPr>
          <w:sz w:val="20"/>
          <w:szCs w:val="20"/>
        </w:rPr>
        <w:t>b)</w:t>
      </w:r>
      <w:r>
        <w:rPr>
          <w:sz w:val="20"/>
          <w:szCs w:val="20"/>
        </w:rPr>
        <w:tab/>
        <w:t xml:space="preserve">Sözleşme uyarınca Yüklenicinin sorumlu olduğu ve Sözleşme </w:t>
      </w:r>
      <w:r>
        <w:rPr>
          <w:sz w:val="20"/>
          <w:szCs w:val="20"/>
        </w:rPr>
        <w:t>Makamı’nın</w:t>
      </w:r>
      <w:r>
        <w:rPr>
          <w:sz w:val="20"/>
          <w:szCs w:val="20"/>
        </w:rPr>
        <w:t xml:space="preserve"> kanaatine göre projenin veya sözleşmenin başarıyla tamamlanmasını engelleyen veya engelleme tehlikesine yol açan diğer durumlar.</w:t>
      </w:r>
    </w:p>
    <w:p w14:paraId="00000137">
      <w:pPr>
        <w:tabs>
          <w:tab w:val="left" w:pos="0"/>
        </w:tabs>
        <w:rPr>
          <w:sz w:val="20"/>
          <w:szCs w:val="20"/>
        </w:rPr>
      </w:pPr>
      <w:r>
        <w:rPr>
          <w:sz w:val="20"/>
          <w:szCs w:val="20"/>
        </w:rPr>
        <w:t xml:space="preserve">(7) Ödemelerdeki sorumluluk, tamamen Sözleşme Makamı ile yüklenici arasındadır. Ödemelerde meydana gelebilecek aksaklıklar hiçbir şekilde </w:t>
      </w:r>
      <w:r>
        <w:rPr>
          <w:sz w:val="20"/>
          <w:szCs w:val="20"/>
        </w:rPr>
        <w:t>Karacadağ Kalkınma Ajansı</w:t>
      </w:r>
      <w:r>
        <w:rPr>
          <w:sz w:val="20"/>
          <w:szCs w:val="20"/>
        </w:rPr>
        <w:t xml:space="preserve">’na izafe edilemez. </w:t>
      </w:r>
    </w:p>
    <w:p w14:paraId="00000138">
      <w:pPr>
        <w:numPr>
          <w:ilvl w:val="0"/>
          <w:numId w:val="10"/>
        </w:numPr>
        <w:spacing w:before="120" w:beforeAutospacing="0" w:after="0" w:afterAutospacing="0" w:line="240" w:lineRule="auto"/>
        <w:jc w:val="both"/>
        <w:rPr>
          <w:b/>
          <w:sz w:val="20"/>
          <w:szCs w:val="20"/>
        </w:rPr>
      </w:pPr>
      <w:r>
        <w:rPr>
          <w:b/>
          <w:sz w:val="20"/>
          <w:szCs w:val="20"/>
        </w:rPr>
        <w:t>Kesin teminat ve sigorta,</w:t>
      </w:r>
    </w:p>
    <w:p w14:paraId="00000139">
      <w:pPr>
        <w:tabs>
          <w:tab w:val="left" w:pos="0"/>
        </w:tabs>
        <w:rPr>
          <w:sz w:val="20"/>
          <w:szCs w:val="20"/>
        </w:rPr>
      </w:pPr>
      <w:r>
        <w:rPr>
          <w:sz w:val="20"/>
          <w:szCs w:val="20"/>
        </w:rPr>
        <w:t xml:space="preserve">(1) Sözleşme Makamı yapacağı sözleşmelerde kesin teminat sunulmasını talep edebilir. Bu durumda Yüklenici, sözleşme bedelinin % 6’sından az olmamak üzere kesin teminat mektubu sunacaktır. </w:t>
      </w:r>
    </w:p>
    <w:p w14:paraId="0000013A">
      <w:pPr>
        <w:tabs>
          <w:tab w:val="left" w:pos="0"/>
        </w:tabs>
        <w:rPr>
          <w:sz w:val="20"/>
          <w:szCs w:val="20"/>
        </w:rPr>
      </w:pPr>
      <w:r>
        <w:rPr>
          <w:sz w:val="20"/>
          <w:szCs w:val="20"/>
        </w:rPr>
        <w:t xml:space="preserve">(2) Kesin teminat mektubu, mali kuruluşun </w:t>
      </w:r>
      <w:r>
        <w:rPr>
          <w:sz w:val="20"/>
          <w:szCs w:val="20"/>
        </w:rPr>
        <w:t>antetli</w:t>
      </w:r>
      <w:r>
        <w:rPr>
          <w:sz w:val="20"/>
          <w:szCs w:val="20"/>
        </w:rPr>
        <w:t xml:space="preserve"> kağıdına yazılmış ve yetkili imzaları haiz şekilde düzenlenir.</w:t>
      </w:r>
    </w:p>
    <w:p w14:paraId="0000013B">
      <w:pPr>
        <w:tabs>
          <w:tab w:val="left" w:pos="0"/>
        </w:tabs>
        <w:rPr>
          <w:sz w:val="20"/>
          <w:szCs w:val="20"/>
        </w:rPr>
      </w:pPr>
      <w:r>
        <w:rPr>
          <w:sz w:val="20"/>
          <w:szCs w:val="20"/>
        </w:rPr>
        <w:t>(3) Özel Koşullar başka türlü şart koşmadığı sürece, nihai raporun onaylanmasını takiben 45 gün içerisinde teminat serbest bırakılacaktır.</w:t>
      </w:r>
    </w:p>
    <w:p w14:paraId="0000013C">
      <w:pPr>
        <w:tabs>
          <w:tab w:val="left" w:pos="0"/>
        </w:tabs>
        <w:rPr>
          <w:sz w:val="20"/>
          <w:szCs w:val="20"/>
        </w:rPr>
      </w:pPr>
      <w:r>
        <w:rPr>
          <w:sz w:val="20"/>
          <w:szCs w:val="20"/>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0000013D">
      <w:pPr>
        <w:tabs>
          <w:tab w:val="left" w:pos="0"/>
        </w:tabs>
        <w:rPr>
          <w:sz w:val="20"/>
          <w:szCs w:val="20"/>
        </w:rPr>
      </w:pPr>
      <w:r>
        <w:rPr>
          <w:sz w:val="20"/>
          <w:szCs w:val="20"/>
        </w:rPr>
        <w:t xml:space="preserve">(5) Eğer sözleşme herhangi bir sebeple feshedilirse, Yüklenicinin Sözleşme </w:t>
      </w:r>
      <w:r>
        <w:rPr>
          <w:sz w:val="20"/>
          <w:szCs w:val="20"/>
        </w:rPr>
        <w:t>Makamı’na</w:t>
      </w:r>
      <w:r>
        <w:rPr>
          <w:sz w:val="20"/>
          <w:szCs w:val="20"/>
        </w:rPr>
        <w:t xml:space="preserve"> olan borçları kesin teminattan tahsil edilir. Bu durumda, teminatı düzenleyen kuruluş her ne sebeple olursa olsun ödemeyi geciktirmeyecek veya ödemeyi yapmaya itiraz etmeyecektir.</w:t>
      </w:r>
    </w:p>
    <w:p w14:paraId="0000013E">
      <w:pPr>
        <w:tabs>
          <w:tab w:val="left" w:pos="0"/>
        </w:tabs>
        <w:rPr>
          <w:sz w:val="20"/>
          <w:szCs w:val="20"/>
        </w:rPr>
      </w:pPr>
      <w:r>
        <w:rPr>
          <w:sz w:val="20"/>
          <w:szCs w:val="20"/>
        </w:rPr>
        <w:t xml:space="preserve">(6) Özel koşullarda aksi belirtilmedikçe, Yapım işlerinde zorunlu olmak üzere, Yüklenici, olası kayıp ve zararların önlenmesini </w:t>
      </w:r>
      <w:r>
        <w:rPr>
          <w:sz w:val="20"/>
          <w:szCs w:val="20"/>
        </w:rPr>
        <w:t>teminen</w:t>
      </w:r>
      <w:r>
        <w:rPr>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0000013F">
      <w:pPr>
        <w:tabs>
          <w:tab w:val="left" w:pos="0"/>
        </w:tabs>
        <w:rPr>
          <w:sz w:val="20"/>
          <w:szCs w:val="20"/>
        </w:rPr>
      </w:pPr>
      <w:r>
        <w:rPr>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00000140">
      <w:pPr>
        <w:numPr>
          <w:ilvl w:val="0"/>
          <w:numId w:val="10"/>
        </w:numPr>
        <w:spacing w:before="120" w:beforeAutospacing="0" w:after="0" w:afterAutospacing="0" w:line="240" w:lineRule="auto"/>
        <w:jc w:val="both"/>
        <w:rPr>
          <w:b/>
          <w:sz w:val="20"/>
          <w:szCs w:val="20"/>
        </w:rPr>
      </w:pPr>
      <w:r>
        <w:rPr>
          <w:b/>
          <w:sz w:val="20"/>
          <w:szCs w:val="20"/>
        </w:rPr>
        <w:t>Borç tutarlarının Yükleniciden tahsil edilmesi</w:t>
      </w:r>
    </w:p>
    <w:p w14:paraId="00000141">
      <w:pPr>
        <w:tabs>
          <w:tab w:val="left" w:pos="0"/>
        </w:tabs>
        <w:rPr>
          <w:sz w:val="20"/>
          <w:szCs w:val="20"/>
        </w:rPr>
      </w:pPr>
      <w:r>
        <w:rPr>
          <w:sz w:val="20"/>
          <w:szCs w:val="20"/>
        </w:rPr>
        <w:t xml:space="preserve">(1) Yüklenici nihai olarak onaylanmış bedelden daha fazla ödenmiş olan ve dolayısıyla Sözleşme Makamına borçlu bulunduğu bütün tutarları Sözleşme </w:t>
      </w:r>
      <w:r>
        <w:rPr>
          <w:sz w:val="20"/>
          <w:szCs w:val="20"/>
        </w:rPr>
        <w:t>Makamı’nın</w:t>
      </w:r>
      <w:r>
        <w:rPr>
          <w:sz w:val="20"/>
          <w:szCs w:val="20"/>
        </w:rPr>
        <w:t xml:space="preserve"> talebi üzerine 15 gün içinde geri ödeyecektir. Yüklenicinin belirtilen süre içinde geri ödemeyi yapmaması halinde, Sözleşme Makamı, Türkiye Cumhuriyet Merkez Bankasının uyguladığı </w:t>
      </w:r>
      <w:r>
        <w:rPr>
          <w:sz w:val="20"/>
          <w:szCs w:val="20"/>
        </w:rPr>
        <w:t>reeskont</w:t>
      </w:r>
      <w:r>
        <w:rPr>
          <w:sz w:val="20"/>
          <w:szCs w:val="20"/>
        </w:rPr>
        <w:t xml:space="preserve"> faizi oranına 3 puan eklenerek tespit edilecek faiz ilavesiyle tahsil yoluna gidecektir.</w:t>
      </w:r>
    </w:p>
    <w:p w14:paraId="00000142">
      <w:pPr>
        <w:tabs>
          <w:tab w:val="left" w:pos="0"/>
        </w:tabs>
        <w:rPr>
          <w:sz w:val="20"/>
          <w:szCs w:val="20"/>
        </w:rPr>
      </w:pPr>
      <w:r>
        <w:rPr>
          <w:sz w:val="20"/>
          <w:szCs w:val="20"/>
        </w:rPr>
        <w:t xml:space="preserve">(2) Sözleşme Makamına geri ödenecek tutarlar Yükleniciye herhangi bir şekilde borçlu olunan tutarlardan mahsup edilebilir. Bu durum Yüklenicinin ve Sözleşme </w:t>
      </w:r>
      <w:r>
        <w:rPr>
          <w:sz w:val="20"/>
          <w:szCs w:val="20"/>
        </w:rPr>
        <w:t>Makamı’nın</w:t>
      </w:r>
      <w:r>
        <w:rPr>
          <w:sz w:val="20"/>
          <w:szCs w:val="20"/>
        </w:rPr>
        <w:t xml:space="preserve"> geri ödemelerin taksitler halinde yapılması konusunda anlaşmaya varma haklarını etkilemeyecektir. Gerekli olan hallerde, </w:t>
      </w:r>
      <w:r>
        <w:rPr>
          <w:sz w:val="20"/>
          <w:szCs w:val="20"/>
        </w:rPr>
        <w:t>Karacadağ Kalkınma Ajansı</w:t>
      </w:r>
      <w:r>
        <w:rPr>
          <w:sz w:val="20"/>
          <w:szCs w:val="20"/>
        </w:rPr>
        <w:t xml:space="preserve"> mali destek sağlayan kuruluş sıfatıyla </w:t>
      </w:r>
      <w:r>
        <w:rPr>
          <w:sz w:val="20"/>
          <w:szCs w:val="20"/>
        </w:rPr>
        <w:t>halefiyet</w:t>
      </w:r>
      <w:r>
        <w:rPr>
          <w:sz w:val="20"/>
          <w:szCs w:val="20"/>
        </w:rPr>
        <w:t xml:space="preserve"> prensibine dayalı olarak Sözleşme Makamının yerini alabilir.</w:t>
      </w:r>
    </w:p>
    <w:p w14:paraId="00000143">
      <w:pPr>
        <w:tabs>
          <w:tab w:val="left" w:pos="0"/>
        </w:tabs>
        <w:rPr>
          <w:sz w:val="20"/>
          <w:szCs w:val="20"/>
        </w:rPr>
      </w:pPr>
      <w:r>
        <w:rPr>
          <w:sz w:val="20"/>
          <w:szCs w:val="20"/>
        </w:rPr>
        <w:t>(3) Sözleşme Makamına borçlu olunan tutarların geri ödenmesinden kaynaklanan banka masrafları tamamen Yüklenici tarafından üstlenilecektir.</w:t>
      </w:r>
    </w:p>
    <w:p w14:paraId="00000144">
      <w:pPr>
        <w:numPr>
          <w:ilvl w:val="0"/>
          <w:numId w:val="10"/>
        </w:numPr>
        <w:spacing w:before="120" w:beforeAutospacing="0" w:after="0" w:afterAutospacing="0" w:line="240" w:lineRule="auto"/>
        <w:jc w:val="both"/>
        <w:rPr>
          <w:b/>
          <w:sz w:val="20"/>
          <w:szCs w:val="20"/>
        </w:rPr>
      </w:pPr>
      <w:r>
        <w:rPr>
          <w:b/>
          <w:sz w:val="20"/>
          <w:szCs w:val="20"/>
        </w:rPr>
        <w:t>Yapım İşlerinde Kabul ve Bakım</w:t>
      </w:r>
    </w:p>
    <w:p w14:paraId="00000145">
      <w:pPr>
        <w:tabs>
          <w:tab w:val="left" w:pos="0"/>
        </w:tabs>
        <w:rPr>
          <w:sz w:val="20"/>
          <w:szCs w:val="20"/>
        </w:rPr>
      </w:pPr>
      <w:r>
        <w:rPr>
          <w:sz w:val="20"/>
          <w:szCs w:val="20"/>
        </w:rPr>
        <w:t xml:space="preserve">(1) Proje Yöneticisi tarafından geçici veya kesin kabul doğrultusunda,  gerçekleştirilen sözleşme konusu işlerin doğrulanması çalışmaları, Yüklenicinin hazır bulunduğu bir ortamda yapılacaktır. </w:t>
      </w:r>
    </w:p>
    <w:p w14:paraId="00000146">
      <w:pPr>
        <w:tabs>
          <w:tab w:val="left" w:pos="0"/>
        </w:tabs>
        <w:rPr>
          <w:sz w:val="20"/>
          <w:szCs w:val="20"/>
        </w:rPr>
      </w:pPr>
      <w:r>
        <w:rPr>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r>
        <w:rPr>
          <w:sz w:val="20"/>
          <w:szCs w:val="20"/>
        </w:rPr>
        <w:t>envanterin</w:t>
      </w:r>
      <w:r>
        <w:rPr>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00000147">
      <w:pPr>
        <w:tabs>
          <w:tab w:val="left" w:pos="0"/>
        </w:tabs>
        <w:rPr>
          <w:sz w:val="20"/>
          <w:szCs w:val="20"/>
        </w:rPr>
      </w:pPr>
      <w:r>
        <w:rPr>
          <w:sz w:val="20"/>
          <w:szCs w:val="20"/>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0000148">
      <w:pPr>
        <w:tabs>
          <w:tab w:val="left" w:pos="0"/>
        </w:tabs>
        <w:rPr>
          <w:sz w:val="20"/>
          <w:szCs w:val="20"/>
        </w:rPr>
      </w:pPr>
      <w:r>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0000149">
      <w:pPr>
        <w:tabs>
          <w:tab w:val="left" w:pos="0"/>
        </w:tabs>
        <w:rPr>
          <w:sz w:val="20"/>
          <w:szCs w:val="20"/>
        </w:rPr>
      </w:pPr>
      <w:r>
        <w:rPr>
          <w:sz w:val="20"/>
          <w:szCs w:val="20"/>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0000014A">
      <w:pPr>
        <w:tabs>
          <w:tab w:val="left" w:pos="0"/>
        </w:tabs>
        <w:rPr>
          <w:sz w:val="20"/>
          <w:szCs w:val="20"/>
        </w:rPr>
      </w:pPr>
      <w:r>
        <w:rPr>
          <w:sz w:val="20"/>
          <w:szCs w:val="20"/>
        </w:rPr>
        <w:t xml:space="preserve">(5) Kesin kabul belgesi Proje Yöneticisi tarafından imzalanıncaya veya imzalanmış olduğu kabul edilinceye kadar, Yüklenicinin işleri tamamen gerçekleştirmiş olduğu kabul edilmeyecektir. </w:t>
      </w:r>
    </w:p>
    <w:p w14:paraId="0000014B">
      <w:pPr>
        <w:tabs>
          <w:tab w:val="left" w:pos="0"/>
        </w:tabs>
        <w:rPr>
          <w:sz w:val="20"/>
          <w:szCs w:val="20"/>
        </w:rPr>
      </w:pPr>
      <w:r>
        <w:rPr>
          <w:sz w:val="20"/>
          <w:szCs w:val="20"/>
        </w:rPr>
        <w:t xml:space="preserve">(6) Kesin kabul belgesinin tanzimine bağlı kalmaksızın, Yüklenici ve Sözleşme Makamı, kesin kabul belgesinin tanziminden önce ortaya çıkan yapılmamış, yerine getirilmemiş herhangi bir borçluluğu yerine getirme </w:t>
      </w:r>
      <w:r>
        <w:rPr>
          <w:sz w:val="20"/>
          <w:szCs w:val="20"/>
        </w:rPr>
        <w:t xml:space="preserve">bakımından, yükümlü kalmaya devam edeceklerdir.  Bu tür herhangi bir yükümlülüğün mahiyet ve kapsamı, sözleşme şartlarına atıf yapmak suretiyle belirlenecektir.   </w:t>
      </w:r>
    </w:p>
    <w:p w14:paraId="0000014C">
      <w:pPr>
        <w:numPr>
          <w:ilvl w:val="0"/>
          <w:numId w:val="10"/>
        </w:numPr>
        <w:spacing w:before="120" w:beforeAutospacing="0" w:after="0" w:afterAutospacing="0" w:line="240" w:lineRule="auto"/>
        <w:jc w:val="both"/>
        <w:rPr>
          <w:b/>
          <w:sz w:val="20"/>
          <w:szCs w:val="20"/>
        </w:rPr>
      </w:pPr>
      <w:r>
        <w:rPr>
          <w:b/>
          <w:sz w:val="20"/>
          <w:szCs w:val="20"/>
        </w:rPr>
        <w:t>Mal alımı sözleşmelerinde teslim, kabul ve garanti işlemleri</w:t>
      </w:r>
    </w:p>
    <w:p w14:paraId="0000014D">
      <w:pPr>
        <w:tabs>
          <w:tab w:val="left" w:pos="0"/>
        </w:tabs>
        <w:rPr>
          <w:sz w:val="20"/>
          <w:szCs w:val="20"/>
        </w:rPr>
      </w:pPr>
      <w:r>
        <w:rPr>
          <w:sz w:val="20"/>
          <w:szCs w:val="20"/>
        </w:rPr>
        <w:t xml:space="preserve">(1) Yüklenici sözleşme koşullarına göre malları teslim eder. Mallara ilişkin riskler, geçici kabullerine kadar yükleniciye aittir. </w:t>
      </w:r>
    </w:p>
    <w:p w14:paraId="0000014E">
      <w:pPr>
        <w:tabs>
          <w:tab w:val="left" w:pos="0"/>
        </w:tabs>
        <w:rPr>
          <w:sz w:val="20"/>
          <w:szCs w:val="20"/>
        </w:rPr>
      </w:pPr>
      <w:r>
        <w:rPr>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0000014F">
      <w:pPr>
        <w:tabs>
          <w:tab w:val="left" w:pos="0"/>
        </w:tabs>
        <w:rPr>
          <w:sz w:val="20"/>
          <w:szCs w:val="20"/>
        </w:rPr>
      </w:pPr>
      <w:r>
        <w:rPr>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00000150">
      <w:pPr>
        <w:tabs>
          <w:tab w:val="left" w:pos="0"/>
        </w:tabs>
        <w:rPr>
          <w:sz w:val="20"/>
          <w:szCs w:val="20"/>
        </w:rPr>
      </w:pPr>
      <w:r>
        <w:rPr>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00000151">
      <w:pPr>
        <w:tabs>
          <w:tab w:val="left" w:pos="0"/>
        </w:tabs>
        <w:rPr>
          <w:sz w:val="20"/>
          <w:szCs w:val="20"/>
        </w:rPr>
      </w:pPr>
      <w:r>
        <w:rPr>
          <w:sz w:val="20"/>
          <w:szCs w:val="20"/>
        </w:rPr>
        <w:t>(5) Proje Yöneticisi, malların sevkiyat süreci boyunca ve mallar devralınmadan önce aşağıdakileri emretme ve karar verme hakkına sahiptir:</w:t>
      </w:r>
    </w:p>
    <w:p w14:paraId="00000152">
      <w:pPr>
        <w:widowControl w:val="off"/>
        <w:numPr>
          <w:ilvl w:val="1"/>
          <w:numId w:val="17"/>
        </w:numPr>
        <w:spacing w:before="120" w:beforeAutospacing="0" w:after="0" w:afterAutospacing="0" w:line="240" w:lineRule="auto"/>
        <w:ind w:left="993"/>
        <w:jc w:val="both"/>
        <w:rPr>
          <w:rFonts w:cs="Arial"/>
          <w:sz w:val="20"/>
          <w:szCs w:val="20"/>
        </w:rPr>
      </w:pPr>
      <w:r>
        <w:rPr>
          <w:rFonts w:cs="Arial"/>
          <w:sz w:val="20"/>
          <w:szCs w:val="20"/>
        </w:rPr>
        <w:t>Sözleşmeye uygun olmadığını düşündüğü malların verilecek süre içinde kabul yerinden alınması;</w:t>
      </w:r>
    </w:p>
    <w:p w14:paraId="00000153">
      <w:pPr>
        <w:widowControl w:val="off"/>
        <w:numPr>
          <w:ilvl w:val="1"/>
          <w:numId w:val="17"/>
        </w:numPr>
        <w:spacing w:before="120" w:beforeAutospacing="0" w:after="0" w:afterAutospacing="0" w:line="240" w:lineRule="auto"/>
        <w:ind w:left="993"/>
        <w:jc w:val="both"/>
        <w:rPr>
          <w:rFonts w:cs="Arial"/>
          <w:sz w:val="20"/>
          <w:szCs w:val="20"/>
        </w:rPr>
      </w:pPr>
      <w:r>
        <w:rPr>
          <w:rFonts w:cs="Arial"/>
          <w:sz w:val="20"/>
          <w:szCs w:val="20"/>
        </w:rPr>
        <w:t>Bu malların düzgün ve uygun mallarla değiştirilmeleri,</w:t>
      </w:r>
    </w:p>
    <w:p w14:paraId="00000154">
      <w:pPr>
        <w:widowControl w:val="off"/>
        <w:numPr>
          <w:ilvl w:val="1"/>
          <w:numId w:val="17"/>
        </w:numPr>
        <w:spacing w:before="120" w:beforeAutospacing="0" w:after="0" w:afterAutospacing="0" w:line="240" w:lineRule="auto"/>
        <w:ind w:left="993"/>
        <w:jc w:val="both"/>
        <w:rPr>
          <w:rFonts w:cs="Arial"/>
          <w:sz w:val="20"/>
          <w:szCs w:val="20"/>
        </w:rPr>
      </w:pPr>
      <w:r>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14:paraId="00000155">
      <w:pPr>
        <w:widowControl w:val="off"/>
        <w:numPr>
          <w:ilvl w:val="1"/>
          <w:numId w:val="17"/>
        </w:numPr>
        <w:spacing w:before="120" w:beforeAutospacing="0" w:after="0" w:afterAutospacing="0" w:line="240" w:lineRule="auto"/>
        <w:ind w:left="993"/>
        <w:jc w:val="both"/>
        <w:rPr>
          <w:rFonts w:cs="Arial"/>
          <w:sz w:val="20"/>
          <w:szCs w:val="20"/>
        </w:rPr>
      </w:pPr>
      <w:r>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14:paraId="00000156">
      <w:pPr>
        <w:tabs>
          <w:tab w:val="left" w:pos="0"/>
        </w:tabs>
        <w:rPr>
          <w:sz w:val="20"/>
          <w:szCs w:val="20"/>
        </w:rPr>
      </w:pPr>
      <w:r>
        <w:rPr>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00000157">
      <w:pPr>
        <w:tabs>
          <w:tab w:val="left" w:pos="0"/>
        </w:tabs>
        <w:rPr>
          <w:sz w:val="20"/>
          <w:szCs w:val="20"/>
        </w:rPr>
      </w:pPr>
      <w:r>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00000158">
      <w:pPr>
        <w:tabs>
          <w:tab w:val="left" w:pos="0"/>
        </w:tabs>
        <w:rPr>
          <w:sz w:val="20"/>
          <w:szCs w:val="20"/>
        </w:rPr>
      </w:pPr>
      <w:r>
        <w:rPr>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14:paraId="00000159">
      <w:pPr>
        <w:tabs>
          <w:tab w:val="left" w:pos="0"/>
        </w:tabs>
        <w:rPr>
          <w:sz w:val="20"/>
          <w:szCs w:val="20"/>
        </w:rPr>
      </w:pPr>
      <w:r>
        <w:rPr>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14:paraId="0000015A">
      <w:pPr>
        <w:ind w:left="993" w:hanging="283"/>
        <w:rPr>
          <w:sz w:val="20"/>
          <w:szCs w:val="20"/>
        </w:rPr>
      </w:pPr>
      <w:r>
        <w:rPr>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0000015B">
      <w:pPr>
        <w:ind w:left="993" w:hanging="283"/>
        <w:rPr>
          <w:sz w:val="20"/>
          <w:szCs w:val="20"/>
        </w:rPr>
      </w:pPr>
      <w:r>
        <w:rPr>
          <w:sz w:val="20"/>
          <w:szCs w:val="20"/>
        </w:rPr>
        <w:tab/>
        <w:t>b) Gerekçelerini ve geçici kabul için Yüklenicinin yapmak zorunda olduğu işlemleri belirterek başvuruyu reddeder.</w:t>
      </w:r>
    </w:p>
    <w:p w14:paraId="0000015C">
      <w:pPr>
        <w:tabs>
          <w:tab w:val="left" w:pos="0"/>
        </w:tabs>
        <w:rPr>
          <w:sz w:val="20"/>
          <w:szCs w:val="20"/>
        </w:rPr>
      </w:pPr>
      <w:r>
        <w:rPr>
          <w:sz w:val="20"/>
          <w:szCs w:val="20"/>
        </w:rPr>
        <w:t>(10) Eğer Proje Yöneticisi 30 gün içerisinde geçici kabul onay belgesi vermez ya da malları reddetmezse, geçici kabul onay belgesini vermiş sayılır.</w:t>
      </w:r>
    </w:p>
    <w:p w14:paraId="0000015D">
      <w:pPr>
        <w:tabs>
          <w:tab w:val="left" w:pos="0"/>
        </w:tabs>
        <w:rPr>
          <w:sz w:val="20"/>
          <w:szCs w:val="20"/>
        </w:rPr>
      </w:pPr>
      <w:r>
        <w:rPr>
          <w:sz w:val="20"/>
          <w:szCs w:val="20"/>
        </w:rPr>
        <w:t>(11) Kısmi sevkiyat durumunda Sözleşme Makamının kısmi kabul verme hakkı vardır.</w:t>
      </w:r>
    </w:p>
    <w:p w14:paraId="0000015E">
      <w:pPr>
        <w:tabs>
          <w:tab w:val="left" w:pos="0"/>
        </w:tabs>
        <w:rPr>
          <w:sz w:val="20"/>
          <w:szCs w:val="20"/>
        </w:rPr>
      </w:pPr>
      <w:r>
        <w:rPr>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0000015F">
      <w:pPr>
        <w:tabs>
          <w:tab w:val="left" w:pos="0"/>
        </w:tabs>
        <w:rPr>
          <w:sz w:val="20"/>
          <w:szCs w:val="20"/>
        </w:rPr>
      </w:pPr>
      <w:r>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00000160">
      <w:pPr>
        <w:tabs>
          <w:tab w:val="left" w:pos="0"/>
        </w:tabs>
        <w:rPr>
          <w:sz w:val="20"/>
          <w:szCs w:val="20"/>
        </w:rPr>
      </w:pPr>
      <w:r>
        <w:rPr>
          <w:sz w:val="20"/>
          <w:szCs w:val="20"/>
        </w:rPr>
        <w:t>(14) Yüklenici, garanti süresinde ortaya çıkan bozukluk ya da hasarları ve aşağıda belirtilen durumları düzeltmekle sorumludur:</w:t>
      </w:r>
    </w:p>
    <w:p w14:paraId="00000161">
      <w:pPr>
        <w:widowControl w:val="off"/>
        <w:numPr>
          <w:ilvl w:val="1"/>
          <w:numId w:val="18"/>
        </w:numPr>
        <w:spacing w:before="120" w:beforeAutospacing="0" w:after="0" w:afterAutospacing="0" w:line="240" w:lineRule="auto"/>
        <w:ind w:left="993"/>
        <w:jc w:val="both"/>
        <w:rPr>
          <w:rFonts w:cs="Arial"/>
          <w:sz w:val="20"/>
          <w:szCs w:val="20"/>
        </w:rPr>
      </w:pPr>
      <w:r>
        <w:rPr>
          <w:rFonts w:cs="Arial"/>
          <w:sz w:val="20"/>
          <w:szCs w:val="20"/>
        </w:rPr>
        <w:t>Kusurlu malzeme, hatalı işçilik ya da Yüklenicinin tasarımından kaynaklanan sonuçlar,</w:t>
      </w:r>
    </w:p>
    <w:p w14:paraId="00000162">
      <w:pPr>
        <w:widowControl w:val="off"/>
        <w:numPr>
          <w:ilvl w:val="1"/>
          <w:numId w:val="18"/>
        </w:numPr>
        <w:spacing w:before="120" w:beforeAutospacing="0" w:after="0" w:afterAutospacing="0" w:line="240" w:lineRule="auto"/>
        <w:ind w:left="993"/>
        <w:jc w:val="both"/>
        <w:rPr>
          <w:rFonts w:cs="Arial"/>
          <w:sz w:val="20"/>
          <w:szCs w:val="20"/>
        </w:rPr>
      </w:pPr>
      <w:r>
        <w:rPr>
          <w:rFonts w:cs="Arial"/>
          <w:sz w:val="20"/>
          <w:szCs w:val="20"/>
        </w:rPr>
        <w:t>Garanti süresinde Yüklenicinin herhangi bir ihmal ya da eylemiyle ortaya çıkan durumlar,</w:t>
      </w:r>
    </w:p>
    <w:p w14:paraId="00000163">
      <w:pPr>
        <w:widowControl w:val="off"/>
        <w:numPr>
          <w:ilvl w:val="1"/>
          <w:numId w:val="18"/>
        </w:numPr>
        <w:spacing w:before="120" w:beforeAutospacing="0" w:after="0" w:afterAutospacing="0" w:line="240" w:lineRule="auto"/>
        <w:ind w:left="993"/>
        <w:jc w:val="both"/>
        <w:rPr>
          <w:rFonts w:cs="Arial"/>
          <w:sz w:val="20"/>
          <w:szCs w:val="20"/>
        </w:rPr>
      </w:pPr>
      <w:r>
        <w:rPr>
          <w:rFonts w:cs="Arial"/>
          <w:sz w:val="20"/>
          <w:szCs w:val="20"/>
        </w:rPr>
        <w:t xml:space="preserve">Sözleşme Makamı tarafından ya da onun adına yapılan bir muayene sırasında ortaya çıkan durumlar. </w:t>
      </w:r>
    </w:p>
    <w:p w14:paraId="00000164">
      <w:pPr>
        <w:tabs>
          <w:tab w:val="left" w:pos="0"/>
        </w:tabs>
        <w:rPr>
          <w:sz w:val="20"/>
          <w:szCs w:val="20"/>
        </w:rPr>
      </w:pPr>
      <w:r>
        <w:rPr>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00000165">
      <w:pPr>
        <w:tabs>
          <w:tab w:val="left" w:pos="0"/>
        </w:tabs>
        <w:rPr>
          <w:sz w:val="20"/>
          <w:szCs w:val="20"/>
        </w:rPr>
      </w:pPr>
      <w:r>
        <w:rPr>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00000166">
      <w:pPr>
        <w:tabs>
          <w:tab w:val="left" w:pos="0"/>
        </w:tabs>
        <w:rPr>
          <w:sz w:val="20"/>
          <w:szCs w:val="20"/>
        </w:rPr>
      </w:pPr>
      <w:r>
        <w:rPr>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00000167">
      <w:pPr>
        <w:tabs>
          <w:tab w:val="left" w:pos="0"/>
        </w:tabs>
        <w:rPr>
          <w:sz w:val="20"/>
          <w:szCs w:val="20"/>
        </w:rPr>
      </w:pPr>
      <w:r>
        <w:rPr>
          <w:sz w:val="20"/>
          <w:szCs w:val="20"/>
        </w:rPr>
        <w:t>Sözleşmeyi feshedebilir.</w:t>
      </w:r>
    </w:p>
    <w:p w14:paraId="00000168">
      <w:pPr>
        <w:tabs>
          <w:tab w:val="left" w:pos="0"/>
        </w:tabs>
        <w:rPr>
          <w:sz w:val="20"/>
          <w:szCs w:val="20"/>
        </w:rPr>
      </w:pPr>
      <w:r>
        <w:rPr>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00000169">
      <w:pPr>
        <w:tabs>
          <w:tab w:val="left" w:pos="0"/>
        </w:tabs>
        <w:rPr>
          <w:sz w:val="20"/>
          <w:szCs w:val="20"/>
        </w:rPr>
      </w:pPr>
      <w:r>
        <w:rPr>
          <w:sz w:val="20"/>
          <w:szCs w:val="20"/>
        </w:rPr>
        <w:t>(18) Garanti süresi geçici kabul tarihinde başlar ve garanti yükümlülükleri Özel Koşullar ve Teknik Şartnamede belirtilir. Eğer garanti süresi belirtilmemişse 365 gün olarak kabul edilecektir.</w:t>
      </w:r>
    </w:p>
    <w:p w14:paraId="0000016A">
      <w:pPr>
        <w:tabs>
          <w:tab w:val="left" w:pos="0"/>
        </w:tabs>
        <w:rPr>
          <w:sz w:val="20"/>
          <w:szCs w:val="20"/>
        </w:rPr>
      </w:pPr>
      <w:r>
        <w:rPr>
          <w:sz w:val="20"/>
          <w:szCs w:val="20"/>
        </w:rPr>
        <w:t xml:space="preserve">(19) Garanti süresinin sona ermesiyle Proje Yöneticisi Yüklenicinin sözleşmedeki yükümlülüklerini Proje Yöneticisinin memnuniyetiyle tamamladığı tarihi belirten ve bir kopyası Yüklenicide kalacak olan bir kesin kabul </w:t>
      </w:r>
      <w:r>
        <w:rPr>
          <w:sz w:val="20"/>
          <w:szCs w:val="20"/>
        </w:rPr>
        <w:t>onay belgesini Yükleniciye verir. Kesin Kabul onay belgesi garanti süresinin bitiminden itibaren 30 gün içinde hazırlanır.</w:t>
      </w:r>
    </w:p>
    <w:p w14:paraId="0000016B">
      <w:pPr>
        <w:tabs>
          <w:tab w:val="left" w:pos="0"/>
        </w:tabs>
        <w:rPr>
          <w:sz w:val="20"/>
          <w:szCs w:val="20"/>
        </w:rPr>
      </w:pPr>
      <w:r>
        <w:rPr>
          <w:sz w:val="20"/>
          <w:szCs w:val="20"/>
        </w:rPr>
        <w:t xml:space="preserve">(20) Sözleşme, kesin kabul onay belgesi imzalanana ya da Proje Yöneticisi tarafından imzalanmış varsayılana kadar tamamlanmış sayılmaz. </w:t>
      </w:r>
    </w:p>
    <w:p w14:paraId="0000016C">
      <w:pPr>
        <w:numPr>
          <w:ilvl w:val="0"/>
          <w:numId w:val="10"/>
        </w:numPr>
        <w:spacing w:before="120" w:beforeAutospacing="0" w:after="0" w:afterAutospacing="0" w:line="240" w:lineRule="auto"/>
        <w:jc w:val="both"/>
        <w:rPr>
          <w:sz w:val="20"/>
          <w:szCs w:val="20"/>
        </w:rPr>
      </w:pPr>
      <w:r>
        <w:rPr>
          <w:b/>
          <w:sz w:val="20"/>
          <w:szCs w:val="20"/>
        </w:rPr>
        <w:t>Fiyatlarda değişiklik</w:t>
      </w:r>
      <w:r>
        <w:rPr>
          <w:sz w:val="20"/>
          <w:szCs w:val="20"/>
        </w:rPr>
        <w:t xml:space="preserve"> </w:t>
      </w:r>
    </w:p>
    <w:p w14:paraId="0000016D">
      <w:pPr>
        <w:tabs>
          <w:tab w:val="left" w:pos="0"/>
        </w:tabs>
        <w:rPr>
          <w:sz w:val="20"/>
          <w:szCs w:val="20"/>
        </w:rPr>
      </w:pPr>
      <w:r>
        <w:rPr>
          <w:sz w:val="20"/>
          <w:szCs w:val="20"/>
        </w:rPr>
        <w:t>(1) Özel Koşullarda aksi öngörülmedikçe fiyat/ücret oranları veya tutarları değiştirilemeyecektir.</w:t>
      </w:r>
    </w:p>
    <w:p w14:paraId="0000016E">
      <w:pPr>
        <w:tabs>
          <w:tab w:val="left" w:pos="0"/>
        </w:tabs>
        <w:jc w:val="center"/>
        <w:rPr>
          <w:b/>
          <w:sz w:val="20"/>
          <w:szCs w:val="20"/>
        </w:rPr>
      </w:pPr>
      <w:r>
        <w:rPr>
          <w:rFonts w:cs="Arial"/>
          <w:b/>
          <w:sz w:val="20"/>
          <w:szCs w:val="20"/>
        </w:rPr>
        <w:t>SÖZLEŞMENİN</w:t>
      </w:r>
      <w:r>
        <w:rPr>
          <w:b/>
          <w:sz w:val="20"/>
          <w:szCs w:val="20"/>
        </w:rPr>
        <w:t xml:space="preserve"> İHLALİ VE FESİH</w:t>
      </w:r>
    </w:p>
    <w:p w14:paraId="0000016F">
      <w:pPr>
        <w:numPr>
          <w:ilvl w:val="0"/>
          <w:numId w:val="10"/>
        </w:numPr>
        <w:spacing w:before="120" w:beforeAutospacing="0" w:after="0" w:afterAutospacing="0" w:line="240" w:lineRule="auto"/>
        <w:jc w:val="both"/>
        <w:rPr>
          <w:b/>
          <w:sz w:val="20"/>
          <w:szCs w:val="20"/>
        </w:rPr>
      </w:pPr>
      <w:r>
        <w:rPr>
          <w:b/>
          <w:sz w:val="20"/>
          <w:szCs w:val="20"/>
        </w:rPr>
        <w:t>Sözleşmenin ihlali</w:t>
      </w:r>
    </w:p>
    <w:p w14:paraId="00000170">
      <w:pPr>
        <w:tabs>
          <w:tab w:val="left" w:pos="0"/>
        </w:tabs>
        <w:rPr>
          <w:sz w:val="20"/>
          <w:szCs w:val="20"/>
        </w:rPr>
      </w:pPr>
      <w:r>
        <w:rPr>
          <w:sz w:val="20"/>
          <w:szCs w:val="20"/>
        </w:rPr>
        <w:t>(1) Tarafların herhangi biri sözleşme altındaki yükümlülüklerinden herhangi birini yerine getirmediğinde sözleşmeyi ihlal etmiş addedilir.</w:t>
      </w:r>
    </w:p>
    <w:p w14:paraId="00000171">
      <w:pPr>
        <w:tabs>
          <w:tab w:val="left" w:pos="0"/>
        </w:tabs>
        <w:rPr>
          <w:sz w:val="20"/>
          <w:szCs w:val="20"/>
        </w:rPr>
      </w:pPr>
      <w:r>
        <w:rPr>
          <w:sz w:val="20"/>
          <w:szCs w:val="20"/>
        </w:rPr>
        <w:t>(2) Sözleşmenin ihlal edilmesi durumunda, ihlalden zarar gören taraf aşağıdaki hukuki çarelere başvurma hakkına sahip olacaktır:</w:t>
      </w:r>
    </w:p>
    <w:p w14:paraId="00000172">
      <w:pPr>
        <w:numPr>
          <w:ilvl w:val="0"/>
          <w:numId w:val="13"/>
        </w:numPr>
        <w:spacing w:before="120" w:beforeAutospacing="0" w:after="0" w:afterAutospacing="0" w:line="240" w:lineRule="auto"/>
        <w:jc w:val="both"/>
        <w:rPr>
          <w:sz w:val="20"/>
          <w:szCs w:val="20"/>
        </w:rPr>
      </w:pPr>
      <w:r>
        <w:rPr>
          <w:sz w:val="20"/>
          <w:szCs w:val="20"/>
        </w:rPr>
        <w:t>Zarar-ziyan bedelinin karşılıklı mutabakatla tahsili ve/veya</w:t>
      </w:r>
    </w:p>
    <w:p w14:paraId="00000173">
      <w:pPr>
        <w:numPr>
          <w:ilvl w:val="0"/>
          <w:numId w:val="13"/>
        </w:numPr>
        <w:spacing w:before="120" w:beforeAutospacing="0" w:after="0" w:afterAutospacing="0" w:line="240" w:lineRule="auto"/>
        <w:jc w:val="both"/>
        <w:rPr>
          <w:sz w:val="20"/>
          <w:szCs w:val="20"/>
        </w:rPr>
      </w:pPr>
      <w:r>
        <w:rPr>
          <w:sz w:val="20"/>
          <w:szCs w:val="20"/>
        </w:rPr>
        <w:t>Sözleşmenin feshedilerek yasal yollardan tahsili.</w:t>
      </w:r>
    </w:p>
    <w:p w14:paraId="00000174">
      <w:pPr>
        <w:tabs>
          <w:tab w:val="left" w:pos="0"/>
        </w:tabs>
        <w:rPr>
          <w:sz w:val="20"/>
          <w:szCs w:val="20"/>
        </w:rPr>
      </w:pPr>
      <w:r>
        <w:rPr>
          <w:sz w:val="20"/>
          <w:szCs w:val="20"/>
        </w:rPr>
        <w:t xml:space="preserve">(3) </w:t>
      </w:r>
      <w:r>
        <w:rPr>
          <w:rFonts w:cs="Arial"/>
          <w:sz w:val="20"/>
          <w:szCs w:val="20"/>
        </w:rPr>
        <w:t>Zarar</w:t>
      </w:r>
      <w:r>
        <w:rPr>
          <w:sz w:val="20"/>
          <w:szCs w:val="20"/>
        </w:rPr>
        <w:t>-ziyan bedeli iki şekilde olabilir:</w:t>
      </w:r>
    </w:p>
    <w:p w14:paraId="00000175">
      <w:pPr>
        <w:numPr>
          <w:ilvl w:val="0"/>
          <w:numId w:val="12"/>
        </w:numPr>
        <w:spacing w:before="120" w:beforeAutospacing="0" w:after="0" w:afterAutospacing="0" w:line="240" w:lineRule="auto"/>
        <w:jc w:val="both"/>
        <w:rPr>
          <w:sz w:val="20"/>
          <w:szCs w:val="20"/>
        </w:rPr>
      </w:pPr>
      <w:r>
        <w:rPr>
          <w:sz w:val="20"/>
          <w:szCs w:val="20"/>
        </w:rPr>
        <w:t xml:space="preserve">Genel zarar-ziyan </w:t>
      </w:r>
      <w:r>
        <w:rPr>
          <w:sz w:val="20"/>
          <w:szCs w:val="20"/>
        </w:rPr>
        <w:t>bedeli  veya</w:t>
      </w:r>
      <w:r>
        <w:rPr>
          <w:sz w:val="20"/>
          <w:szCs w:val="20"/>
        </w:rPr>
        <w:t xml:space="preserve"> </w:t>
      </w:r>
    </w:p>
    <w:p w14:paraId="00000176">
      <w:pPr>
        <w:numPr>
          <w:ilvl w:val="0"/>
          <w:numId w:val="12"/>
        </w:numPr>
        <w:spacing w:before="120" w:beforeAutospacing="0" w:after="0" w:afterAutospacing="0" w:line="240" w:lineRule="auto"/>
        <w:jc w:val="both"/>
        <w:rPr>
          <w:sz w:val="20"/>
          <w:szCs w:val="20"/>
        </w:rPr>
      </w:pPr>
      <w:r>
        <w:rPr>
          <w:sz w:val="20"/>
          <w:szCs w:val="20"/>
        </w:rPr>
        <w:t>Maktu zarar-ziyan bedeli.</w:t>
      </w:r>
    </w:p>
    <w:p w14:paraId="00000177">
      <w:pPr>
        <w:tabs>
          <w:tab w:val="left" w:pos="0"/>
        </w:tabs>
        <w:rPr>
          <w:sz w:val="20"/>
          <w:szCs w:val="20"/>
        </w:rPr>
      </w:pPr>
      <w:r>
        <w:rPr>
          <w:sz w:val="20"/>
          <w:szCs w:val="20"/>
        </w:rPr>
        <w:t>(4) Sözleşme Makamı zarar-ziyan bedeline hak kazandığı her durumda bu zarar-ziyan bedellerini Yükleniciye ödeyeceği tutarlardan veya ilgili teminattan kesebilir.</w:t>
      </w:r>
    </w:p>
    <w:p w14:paraId="00000178">
      <w:pPr>
        <w:tabs>
          <w:tab w:val="left" w:pos="0"/>
        </w:tabs>
        <w:rPr>
          <w:sz w:val="20"/>
          <w:szCs w:val="20"/>
        </w:rPr>
      </w:pPr>
      <w:r>
        <w:rPr>
          <w:sz w:val="20"/>
          <w:szCs w:val="20"/>
        </w:rPr>
        <w:t>(5) Sözleşme Makamının, sözleşme tamamlandıktan sonra tespit edilen zarar veya hasarlar için tazminat alma hakkı saklıdır.</w:t>
      </w:r>
    </w:p>
    <w:p w14:paraId="00000179">
      <w:pPr>
        <w:numPr>
          <w:ilvl w:val="0"/>
          <w:numId w:val="10"/>
        </w:numPr>
        <w:spacing w:before="120" w:beforeAutospacing="0" w:after="0" w:afterAutospacing="0" w:line="240" w:lineRule="auto"/>
        <w:jc w:val="both"/>
        <w:rPr>
          <w:b/>
          <w:sz w:val="20"/>
          <w:szCs w:val="20"/>
        </w:rPr>
      </w:pPr>
      <w:r>
        <w:rPr>
          <w:b/>
          <w:sz w:val="20"/>
          <w:szCs w:val="20"/>
        </w:rPr>
        <w:t>Sözleşmenin askıya alınması</w:t>
      </w:r>
    </w:p>
    <w:p w14:paraId="0000017A">
      <w:pPr>
        <w:tabs>
          <w:tab w:val="left" w:pos="0"/>
        </w:tabs>
        <w:rPr>
          <w:sz w:val="20"/>
          <w:szCs w:val="20"/>
        </w:rPr>
      </w:pPr>
      <w:r>
        <w:rPr>
          <w:sz w:val="20"/>
          <w:szCs w:val="20"/>
        </w:rPr>
        <w:t xml:space="preserve">(1) Sözleşme konusu işin ihale edilmesine ilişkin prosedürlere veya sözleşmenin ifa edilmesine maddi hatalar veya usulsüzlükler veya </w:t>
      </w:r>
      <w:r>
        <w:rPr>
          <w:sz w:val="20"/>
          <w:szCs w:val="20"/>
        </w:rPr>
        <w:t>sahtekarlıklar</w:t>
      </w:r>
      <w:r>
        <w:rPr>
          <w:sz w:val="20"/>
          <w:szCs w:val="20"/>
        </w:rPr>
        <w:t xml:space="preserve"> dolayısıyla halel gelmesi durumunda Sözleşme Makamı sözleşmenin yürütülmesini askıya alacaktır.</w:t>
      </w:r>
    </w:p>
    <w:p w14:paraId="0000017B">
      <w:pPr>
        <w:tabs>
          <w:tab w:val="left" w:pos="0"/>
        </w:tabs>
        <w:rPr>
          <w:sz w:val="20"/>
          <w:szCs w:val="20"/>
        </w:rPr>
      </w:pPr>
      <w:r>
        <w:rPr>
          <w:sz w:val="20"/>
          <w:szCs w:val="20"/>
        </w:rPr>
        <w:t xml:space="preserve">(2) Söz konusu hataların veya usulsüzlüklerin veya </w:t>
      </w:r>
      <w:r>
        <w:rPr>
          <w:sz w:val="20"/>
          <w:szCs w:val="20"/>
        </w:rPr>
        <w:t>sahtekarlıkların</w:t>
      </w:r>
      <w:r>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0000017C">
      <w:pPr>
        <w:numPr>
          <w:ilvl w:val="0"/>
          <w:numId w:val="10"/>
        </w:numPr>
        <w:spacing w:before="120" w:beforeAutospacing="0" w:after="0" w:afterAutospacing="0" w:line="240" w:lineRule="auto"/>
        <w:jc w:val="both"/>
        <w:rPr>
          <w:b/>
          <w:sz w:val="20"/>
          <w:szCs w:val="20"/>
        </w:rPr>
      </w:pPr>
      <w:r>
        <w:rPr>
          <w:b/>
          <w:sz w:val="20"/>
          <w:szCs w:val="20"/>
        </w:rPr>
        <w:t>Sözleşmenin sözleşme makamı tarafından feshi</w:t>
      </w:r>
    </w:p>
    <w:p w14:paraId="0000017D">
      <w:pPr>
        <w:tabs>
          <w:tab w:val="left" w:pos="0"/>
        </w:tabs>
        <w:rPr>
          <w:sz w:val="20"/>
          <w:szCs w:val="20"/>
        </w:rPr>
      </w:pPr>
      <w:r>
        <w:rPr>
          <w:sz w:val="20"/>
          <w:szCs w:val="20"/>
        </w:rPr>
        <w:t xml:space="preserve">(1) Sözleşme, sözleşmenin her iki tarafça imzalanmasından itibaren bir yıl içinde herhangi bir faaliyet ve karşılığında ödeme yapılmamışsa, kendiliğinden </w:t>
      </w:r>
      <w:r>
        <w:rPr>
          <w:sz w:val="20"/>
          <w:szCs w:val="20"/>
        </w:rPr>
        <w:t>fesholunmuş</w:t>
      </w:r>
      <w:r>
        <w:rPr>
          <w:sz w:val="20"/>
          <w:szCs w:val="20"/>
        </w:rPr>
        <w:t xml:space="preserve"> addedilecektir.</w:t>
      </w:r>
    </w:p>
    <w:p w14:paraId="0000017E">
      <w:pPr>
        <w:tabs>
          <w:tab w:val="left" w:pos="0"/>
        </w:tabs>
        <w:rPr>
          <w:sz w:val="20"/>
          <w:szCs w:val="20"/>
        </w:rPr>
      </w:pPr>
      <w:r>
        <w:rPr>
          <w:sz w:val="20"/>
          <w:szCs w:val="20"/>
        </w:rPr>
        <w:t>(2) Fesih, Sözleşme Makamının veya Yüklenicinin sözleşme altında sahip oldukları diğer hak ve yetkilere halel getirmeyecektir.</w:t>
      </w:r>
    </w:p>
    <w:p w14:paraId="0000017F">
      <w:pPr>
        <w:tabs>
          <w:tab w:val="left" w:pos="0"/>
        </w:tabs>
        <w:rPr>
          <w:sz w:val="20"/>
          <w:szCs w:val="20"/>
        </w:rPr>
      </w:pPr>
      <w:r>
        <w:rPr>
          <w:sz w:val="20"/>
          <w:szCs w:val="20"/>
        </w:rPr>
        <w:t xml:space="preserve">(3) Bu Genel </w:t>
      </w:r>
      <w:r>
        <w:rPr>
          <w:sz w:val="20"/>
          <w:szCs w:val="20"/>
        </w:rPr>
        <w:t>Koşullar’da</w:t>
      </w:r>
      <w:r>
        <w:rPr>
          <w:sz w:val="20"/>
          <w:szCs w:val="20"/>
        </w:rPr>
        <w:t xml:space="preserve"> tarif edilen fesih gerekçelerine ek olarak, Sözleşme Makamı aşağıdaki durumlardan herhangi birinin ortaya çıkması halinde Yükleniciye 7 (yedi) gün önceden bildirimde bulunarak sözleşmeyi feshedebilir:</w:t>
      </w:r>
    </w:p>
    <w:p w14:paraId="00000180">
      <w:pPr>
        <w:numPr>
          <w:ilvl w:val="0"/>
          <w:numId w:val="14"/>
        </w:numPr>
        <w:spacing w:before="120" w:beforeAutospacing="0" w:after="0" w:afterAutospacing="0" w:line="240" w:lineRule="auto"/>
        <w:jc w:val="both"/>
        <w:rPr>
          <w:sz w:val="20"/>
          <w:szCs w:val="20"/>
        </w:rPr>
      </w:pPr>
      <w:r>
        <w:rPr>
          <w:sz w:val="20"/>
          <w:szCs w:val="20"/>
        </w:rPr>
        <w:t xml:space="preserve">Yüklenicinin Sözleşme konusu işi önemli ölçüde sözleşmeye uygun şekilde yerine getirmemesi;    </w:t>
      </w:r>
    </w:p>
    <w:p w14:paraId="00000181">
      <w:pPr>
        <w:numPr>
          <w:ilvl w:val="0"/>
          <w:numId w:val="14"/>
        </w:numPr>
        <w:spacing w:before="120" w:beforeAutospacing="0" w:after="0" w:afterAutospacing="0" w:line="240" w:lineRule="auto"/>
        <w:jc w:val="both"/>
        <w:rPr>
          <w:sz w:val="20"/>
          <w:szCs w:val="20"/>
        </w:rPr>
      </w:pPr>
      <w:r>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00000182">
      <w:pPr>
        <w:numPr>
          <w:ilvl w:val="0"/>
          <w:numId w:val="14"/>
        </w:numPr>
        <w:spacing w:before="120" w:beforeAutospacing="0" w:after="0" w:afterAutospacing="0" w:line="240" w:lineRule="auto"/>
        <w:jc w:val="both"/>
        <w:rPr>
          <w:sz w:val="20"/>
          <w:szCs w:val="20"/>
        </w:rPr>
      </w:pPr>
      <w:r>
        <w:rPr>
          <w:sz w:val="20"/>
          <w:szCs w:val="20"/>
        </w:rPr>
        <w:t>Yüklenicinin Proje Yöneticisi tarafından verilen idari emirleri yerine getirmeyi reddetmesi veya ihmal etmesi;</w:t>
      </w:r>
    </w:p>
    <w:p w14:paraId="00000183">
      <w:pPr>
        <w:numPr>
          <w:ilvl w:val="0"/>
          <w:numId w:val="14"/>
        </w:numPr>
        <w:spacing w:before="120" w:beforeAutospacing="0" w:after="0" w:afterAutospacing="0" w:line="240" w:lineRule="auto"/>
        <w:jc w:val="both"/>
        <w:rPr>
          <w:sz w:val="20"/>
          <w:szCs w:val="20"/>
        </w:rPr>
      </w:pPr>
      <w:r>
        <w:rPr>
          <w:sz w:val="20"/>
          <w:szCs w:val="20"/>
        </w:rPr>
        <w:t>Yüklenicinin sözleşmeyi devretmesi veya sözleşme altındaki işleri taşerona vermesi;</w:t>
      </w:r>
    </w:p>
    <w:p w14:paraId="00000184">
      <w:pPr>
        <w:numPr>
          <w:ilvl w:val="0"/>
          <w:numId w:val="14"/>
        </w:numPr>
        <w:spacing w:before="120" w:beforeAutospacing="0" w:after="0" w:afterAutospacing="0" w:line="240" w:lineRule="auto"/>
        <w:jc w:val="both"/>
        <w:rPr>
          <w:sz w:val="20"/>
          <w:szCs w:val="20"/>
        </w:rPr>
      </w:pPr>
      <w:r>
        <w:rPr>
          <w:sz w:val="20"/>
          <w:szCs w:val="20"/>
        </w:rPr>
        <w:t xml:space="preserve">Yüklenicinin iflas etmesi veya tasfiyeye gitmesi, faaliyetlerinin mahkemeler tarafından kayyum idaresine verilmesi, alacaklılarıyla </w:t>
      </w:r>
      <w:r>
        <w:rPr>
          <w:sz w:val="20"/>
          <w:szCs w:val="20"/>
        </w:rPr>
        <w:t>konkordato</w:t>
      </w:r>
      <w:r>
        <w:rPr>
          <w:sz w:val="20"/>
          <w:szCs w:val="20"/>
        </w:rPr>
        <w:t xml:space="preserve"> ve benzeri anlaşmalar yapması, ticari faaliyetlerini askıya alması, bu hususlarla ilgili olarak dava veya </w:t>
      </w:r>
      <w:r>
        <w:rPr>
          <w:sz w:val="20"/>
          <w:szCs w:val="20"/>
        </w:rPr>
        <w:t>takibatlara</w:t>
      </w:r>
      <w:r>
        <w:rPr>
          <w:sz w:val="20"/>
          <w:szCs w:val="20"/>
        </w:rPr>
        <w:t xml:space="preserve"> maruz kalması, veya ulusal mevzuat gereğince benzer bir prosedür neticesinde bu türden durumlara düşmesi;   </w:t>
      </w:r>
    </w:p>
    <w:p w14:paraId="00000185">
      <w:pPr>
        <w:numPr>
          <w:ilvl w:val="0"/>
          <w:numId w:val="14"/>
        </w:numPr>
        <w:spacing w:before="120" w:beforeAutospacing="0" w:after="0" w:afterAutospacing="0" w:line="240" w:lineRule="auto"/>
        <w:jc w:val="both"/>
        <w:rPr>
          <w:sz w:val="20"/>
          <w:szCs w:val="20"/>
        </w:rPr>
      </w:pPr>
      <w:r>
        <w:rPr>
          <w:sz w:val="20"/>
          <w:szCs w:val="20"/>
        </w:rPr>
        <w:t xml:space="preserve">Yüklenicinin mesleki fiil ve davranışlarıyla ilgili olarak kesinleşmiş hüküm ifade eden bir mahkeme kararıyla suçlu bulunarak hüküm giymiş olması; </w:t>
      </w:r>
    </w:p>
    <w:p w14:paraId="00000186">
      <w:pPr>
        <w:numPr>
          <w:ilvl w:val="0"/>
          <w:numId w:val="14"/>
        </w:numPr>
        <w:spacing w:before="120" w:beforeAutospacing="0" w:after="0" w:afterAutospacing="0" w:line="240" w:lineRule="auto"/>
        <w:jc w:val="both"/>
        <w:rPr>
          <w:sz w:val="20"/>
          <w:szCs w:val="20"/>
        </w:rPr>
      </w:pPr>
      <w:r>
        <w:rPr>
          <w:sz w:val="20"/>
          <w:szCs w:val="20"/>
        </w:rPr>
        <w:t xml:space="preserve">Yüklenicinin Sözleşme Makamı tarafından gerekçeli olarak kanıtlanan ağır bir mesleki kusur veya </w:t>
      </w:r>
      <w:r>
        <w:rPr>
          <w:sz w:val="20"/>
          <w:szCs w:val="20"/>
        </w:rPr>
        <w:t>suistimalden</w:t>
      </w:r>
      <w:r>
        <w:rPr>
          <w:sz w:val="20"/>
          <w:szCs w:val="20"/>
        </w:rPr>
        <w:t xml:space="preserve"> suçlu bulunmuş olması;</w:t>
      </w:r>
    </w:p>
    <w:p w14:paraId="00000187">
      <w:pPr>
        <w:numPr>
          <w:ilvl w:val="0"/>
          <w:numId w:val="14"/>
        </w:numPr>
        <w:spacing w:before="120" w:beforeAutospacing="0" w:after="0" w:afterAutospacing="0" w:line="240" w:lineRule="auto"/>
        <w:jc w:val="both"/>
        <w:rPr>
          <w:sz w:val="20"/>
          <w:szCs w:val="20"/>
        </w:rPr>
      </w:pPr>
      <w:r>
        <w:rPr>
          <w:sz w:val="20"/>
          <w:szCs w:val="20"/>
        </w:rPr>
        <w:t xml:space="preserve">Yüklenicinin </w:t>
      </w:r>
      <w:r>
        <w:rPr>
          <w:sz w:val="20"/>
          <w:szCs w:val="20"/>
        </w:rPr>
        <w:t>sahtekarlık</w:t>
      </w:r>
      <w:r>
        <w:rPr>
          <w:sz w:val="20"/>
          <w:szCs w:val="20"/>
        </w:rPr>
        <w:t xml:space="preserve">, yolsuzluk, suç örgütüne iştirak veya başka bir yasadışı faaliyet münasebetiyle kesinleşmiş hüküm ifade eden bir mahkeme kararıyla suçlu bulunarak hüküm giymiş olması;  </w:t>
      </w:r>
    </w:p>
    <w:p w14:paraId="00000188">
      <w:pPr>
        <w:numPr>
          <w:ilvl w:val="0"/>
          <w:numId w:val="14"/>
        </w:numPr>
        <w:spacing w:before="120" w:beforeAutospacing="0" w:after="0" w:afterAutospacing="0" w:line="240" w:lineRule="auto"/>
        <w:jc w:val="both"/>
        <w:rPr>
          <w:sz w:val="20"/>
          <w:szCs w:val="20"/>
        </w:rPr>
      </w:pPr>
      <w:r>
        <w:rPr>
          <w:color w:val="000000"/>
          <w:sz w:val="20"/>
          <w:szCs w:val="20"/>
        </w:rPr>
        <w:t>Karacadağ Kalkınma Ajansı</w:t>
      </w:r>
      <w:r>
        <w:rPr>
          <w:color w:val="000000"/>
          <w:sz w:val="20"/>
          <w:szCs w:val="20"/>
        </w:rPr>
        <w:t xml:space="preserve"> </w:t>
      </w:r>
      <w:r>
        <w:rPr>
          <w:sz w:val="20"/>
          <w:szCs w:val="20"/>
        </w:rPr>
        <w:t xml:space="preserve">mali destekleri kapsamında finanse edilen başka bir tedarik sözleşmesi </w:t>
      </w:r>
      <w:r>
        <w:rPr>
          <w:sz w:val="20"/>
          <w:szCs w:val="20"/>
        </w:rPr>
        <w:t>prosedürünü</w:t>
      </w:r>
      <w:r>
        <w:rPr>
          <w:sz w:val="20"/>
          <w:szCs w:val="20"/>
        </w:rPr>
        <w:t xml:space="preserve"> veya destek programı prosedürünü takiben Yüklenicinin akdi yükümlülüklerini yerine getirmediği için sözleşmeyi ciddi ölçüde ihlal ettiğinin ilan edilmiş olması;   </w:t>
      </w:r>
    </w:p>
    <w:p w14:paraId="00000189">
      <w:pPr>
        <w:numPr>
          <w:ilvl w:val="0"/>
          <w:numId w:val="14"/>
        </w:numPr>
        <w:spacing w:before="120" w:beforeAutospacing="0" w:after="0" w:afterAutospacing="0" w:line="240" w:lineRule="auto"/>
        <w:jc w:val="both"/>
        <w:rPr>
          <w:sz w:val="20"/>
          <w:szCs w:val="20"/>
        </w:rPr>
      </w:pPr>
      <w:r>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0000018A">
      <w:pPr>
        <w:numPr>
          <w:ilvl w:val="0"/>
          <w:numId w:val="14"/>
        </w:numPr>
        <w:spacing w:before="120" w:beforeAutospacing="0" w:after="0" w:afterAutospacing="0" w:line="240" w:lineRule="auto"/>
        <w:jc w:val="both"/>
        <w:rPr>
          <w:sz w:val="20"/>
          <w:szCs w:val="20"/>
        </w:rPr>
      </w:pPr>
      <w:r>
        <w:rPr>
          <w:sz w:val="20"/>
          <w:szCs w:val="20"/>
        </w:rPr>
        <w:t xml:space="preserve">Sözleşmenin ifa edilmesini önleyen başka bir yasal engelin zuhur etmiş olması;   </w:t>
      </w:r>
    </w:p>
    <w:p w14:paraId="0000018B">
      <w:pPr>
        <w:numPr>
          <w:ilvl w:val="0"/>
          <w:numId w:val="14"/>
        </w:numPr>
        <w:spacing w:before="120" w:beforeAutospacing="0" w:after="0" w:afterAutospacing="0" w:line="240" w:lineRule="auto"/>
        <w:jc w:val="both"/>
        <w:rPr>
          <w:sz w:val="20"/>
          <w:szCs w:val="20"/>
        </w:rPr>
      </w:pPr>
      <w:r>
        <w:rPr>
          <w:sz w:val="20"/>
          <w:szCs w:val="20"/>
        </w:rPr>
        <w:t xml:space="preserve">Yüklenicinin gerekli teminatları veya sigortayı sağlayamaması ya da söz konusu teminat veya sigortayı sağlayan kişinin bunlarda yer alan taahhüt hükümlerine riayet etmemesi. </w:t>
      </w:r>
    </w:p>
    <w:p w14:paraId="0000018C">
      <w:pPr>
        <w:tabs>
          <w:tab w:val="left" w:pos="0"/>
        </w:tabs>
        <w:rPr>
          <w:sz w:val="20"/>
          <w:szCs w:val="20"/>
        </w:rPr>
      </w:pPr>
      <w:r>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r>
        <w:rPr>
          <w:sz w:val="20"/>
          <w:szCs w:val="20"/>
        </w:rPr>
        <w:t>Makamı’nın</w:t>
      </w:r>
      <w:r>
        <w:rPr>
          <w:sz w:val="20"/>
          <w:szCs w:val="20"/>
        </w:rPr>
        <w:t>, Sözleşmeyi feshetmesi halinde, Yüklenicinin işin tamamlanmasındaki gecikmeden ötürü sorumluluğu, sözleşme altında daha önceden maruz kalınmış yükümlülükler saklı kalmak kaydıyla,  derhal sona erecektir.</w:t>
      </w:r>
    </w:p>
    <w:p w14:paraId="0000018D">
      <w:pPr>
        <w:tabs>
          <w:tab w:val="left" w:pos="0"/>
        </w:tabs>
        <w:rPr>
          <w:sz w:val="20"/>
          <w:szCs w:val="20"/>
        </w:rPr>
      </w:pPr>
      <w:r>
        <w:rPr>
          <w:sz w:val="20"/>
          <w:szCs w:val="20"/>
        </w:rPr>
        <w:t xml:space="preserve">(5) Yüklenici, sözleşmenin feshi üzerine veya sözleşmenin feshedildiğine dair bildirimi aldığında, işin süratli ve düzgün bir biçimde ve ilgili maliyetler asgari düzeyde tutulacak şekilde tamamlanmasını </w:t>
      </w:r>
      <w:r>
        <w:rPr>
          <w:sz w:val="20"/>
          <w:szCs w:val="20"/>
        </w:rPr>
        <w:t>teminen</w:t>
      </w:r>
      <w:r>
        <w:rPr>
          <w:sz w:val="20"/>
          <w:szCs w:val="20"/>
        </w:rPr>
        <w:t xml:space="preserve"> gerekli adımları derhal atacaktır.</w:t>
      </w:r>
    </w:p>
    <w:p w14:paraId="0000018E">
      <w:pPr>
        <w:tabs>
          <w:tab w:val="left" w:pos="0"/>
        </w:tabs>
        <w:rPr>
          <w:sz w:val="20"/>
          <w:szCs w:val="20"/>
        </w:rPr>
      </w:pPr>
      <w:r>
        <w:rPr>
          <w:sz w:val="20"/>
          <w:szCs w:val="20"/>
        </w:rPr>
        <w:t>(6) Proje Yöneticisi sözleşmenin feshinden sonra mümkün olan en kısa süre içinde fesih tarihi itibariyle Yükleniciye borçlu olunan bütün tutarları ve hizmet bedellerini onaylayacaktır.</w:t>
      </w:r>
    </w:p>
    <w:p w14:paraId="0000018F">
      <w:pPr>
        <w:tabs>
          <w:tab w:val="left" w:pos="0"/>
        </w:tabs>
        <w:rPr>
          <w:sz w:val="20"/>
          <w:szCs w:val="20"/>
        </w:rPr>
      </w:pPr>
      <w:r>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00000190">
      <w:pPr>
        <w:tabs>
          <w:tab w:val="left" w:pos="0"/>
        </w:tabs>
        <w:rPr>
          <w:sz w:val="20"/>
          <w:szCs w:val="20"/>
        </w:rPr>
      </w:pPr>
      <w:r>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00000191">
      <w:pPr>
        <w:tabs>
          <w:tab w:val="left" w:pos="0"/>
        </w:tabs>
        <w:rPr>
          <w:sz w:val="20"/>
          <w:szCs w:val="20"/>
        </w:rPr>
      </w:pPr>
      <w:r>
        <w:rPr>
          <w:sz w:val="20"/>
          <w:szCs w:val="20"/>
        </w:rPr>
        <w:t>(9) Yüklenici, fesih anına kadar yapmış olduğu işler için kendisine borçlu olunan tutarlara ek olarak herhangi bir zarar veya hasar tazminatı talep etme hakkına sahip değildir.</w:t>
      </w:r>
    </w:p>
    <w:p w14:paraId="00000192">
      <w:pPr>
        <w:numPr>
          <w:ilvl w:val="0"/>
          <w:numId w:val="10"/>
        </w:numPr>
        <w:spacing w:before="120" w:beforeAutospacing="0" w:after="0" w:afterAutospacing="0" w:line="240" w:lineRule="auto"/>
        <w:jc w:val="both"/>
        <w:rPr>
          <w:b/>
          <w:sz w:val="20"/>
          <w:szCs w:val="20"/>
        </w:rPr>
      </w:pPr>
      <w:r>
        <w:rPr>
          <w:b/>
          <w:sz w:val="20"/>
          <w:szCs w:val="20"/>
        </w:rPr>
        <w:t>Sözleşmenin Yüklenici tarafından feshi</w:t>
      </w:r>
    </w:p>
    <w:p w14:paraId="00000193">
      <w:pPr>
        <w:tabs>
          <w:tab w:val="left" w:pos="0"/>
        </w:tabs>
        <w:rPr>
          <w:sz w:val="20"/>
          <w:szCs w:val="20"/>
        </w:rPr>
      </w:pPr>
      <w:r>
        <w:rPr>
          <w:sz w:val="20"/>
          <w:szCs w:val="20"/>
        </w:rPr>
        <w:t>(1) Yüklenici, Sözleşme Makamının aşağıdaki durumlara sebebiyet vermesi halinde, Sözleşme Makamına 15 gün önceden bildirimde bulunarak sözleşmeyi feshedebilir:</w:t>
      </w:r>
    </w:p>
    <w:p w14:paraId="00000194">
      <w:pPr>
        <w:numPr>
          <w:ilvl w:val="0"/>
          <w:numId w:val="15"/>
        </w:numPr>
        <w:spacing w:before="120" w:beforeAutospacing="0" w:after="0" w:afterAutospacing="0" w:line="240" w:lineRule="auto"/>
        <w:jc w:val="both"/>
        <w:rPr>
          <w:sz w:val="20"/>
          <w:szCs w:val="20"/>
        </w:rPr>
      </w:pPr>
      <w:r>
        <w:rPr>
          <w:sz w:val="20"/>
          <w:szCs w:val="20"/>
        </w:rPr>
        <w:t xml:space="preserve">Sözleşme Makamının Yükleniciye borcunu haklı bir neden olmaksızın ödememesi; </w:t>
      </w:r>
    </w:p>
    <w:p w14:paraId="00000195">
      <w:pPr>
        <w:numPr>
          <w:ilvl w:val="0"/>
          <w:numId w:val="15"/>
        </w:numPr>
        <w:spacing w:before="120" w:beforeAutospacing="0" w:after="0" w:afterAutospacing="0" w:line="240" w:lineRule="auto"/>
        <w:jc w:val="both"/>
        <w:rPr>
          <w:sz w:val="20"/>
          <w:szCs w:val="20"/>
        </w:rPr>
      </w:pPr>
      <w:r>
        <w:rPr>
          <w:sz w:val="20"/>
          <w:szCs w:val="20"/>
        </w:rPr>
        <w:t xml:space="preserve">Hatırlatmalara rağmen Sözleşme Makamının yükümlülüklerini ısrarla yerine </w:t>
      </w:r>
      <w:r>
        <w:rPr>
          <w:sz w:val="20"/>
          <w:szCs w:val="20"/>
        </w:rPr>
        <w:t>getirmemesi;</w:t>
      </w:r>
      <w:r>
        <w:rPr>
          <w:sz w:val="20"/>
          <w:szCs w:val="20"/>
        </w:rPr>
        <w:t xml:space="preserve"> veya</w:t>
      </w:r>
    </w:p>
    <w:p w14:paraId="00000196">
      <w:pPr>
        <w:numPr>
          <w:ilvl w:val="0"/>
          <w:numId w:val="15"/>
        </w:numPr>
        <w:spacing w:before="120" w:beforeAutospacing="0" w:after="0" w:afterAutospacing="0" w:line="240" w:lineRule="auto"/>
        <w:jc w:val="both"/>
        <w:rPr>
          <w:sz w:val="20"/>
          <w:szCs w:val="20"/>
        </w:rPr>
      </w:pPr>
      <w:r>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14:paraId="00000197">
      <w:pPr>
        <w:tabs>
          <w:tab w:val="left" w:pos="0"/>
        </w:tabs>
        <w:rPr>
          <w:sz w:val="20"/>
          <w:szCs w:val="20"/>
        </w:rPr>
      </w:pPr>
      <w:r>
        <w:rPr>
          <w:sz w:val="20"/>
          <w:szCs w:val="20"/>
        </w:rPr>
        <w:t xml:space="preserve">(2) Sözleşmenin Yüklenici tarafından feshi Sözleşme </w:t>
      </w:r>
      <w:r>
        <w:rPr>
          <w:sz w:val="20"/>
          <w:szCs w:val="20"/>
        </w:rPr>
        <w:t>Makamı’nın</w:t>
      </w:r>
      <w:r>
        <w:rPr>
          <w:sz w:val="20"/>
          <w:szCs w:val="20"/>
        </w:rPr>
        <w:t xml:space="preserve"> veya Yüklenicinin sözleşme altında sahip oldukları diğer haklara halel getirmeyecektir.</w:t>
      </w:r>
    </w:p>
    <w:p w14:paraId="00000198">
      <w:pPr>
        <w:tabs>
          <w:tab w:val="left" w:pos="0"/>
        </w:tabs>
        <w:rPr>
          <w:sz w:val="20"/>
          <w:szCs w:val="20"/>
        </w:rPr>
      </w:pPr>
      <w:r>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00000199">
      <w:pPr>
        <w:numPr>
          <w:ilvl w:val="0"/>
          <w:numId w:val="10"/>
        </w:numPr>
        <w:spacing w:before="120" w:beforeAutospacing="0" w:after="0" w:afterAutospacing="0" w:line="240" w:lineRule="auto"/>
        <w:jc w:val="both"/>
        <w:rPr>
          <w:b/>
          <w:sz w:val="20"/>
          <w:szCs w:val="20"/>
        </w:rPr>
      </w:pPr>
      <w:r>
        <w:rPr>
          <w:b/>
          <w:sz w:val="20"/>
          <w:szCs w:val="20"/>
        </w:rPr>
        <w:t>Vefat</w:t>
      </w:r>
    </w:p>
    <w:p w14:paraId="0000019A">
      <w:pPr>
        <w:tabs>
          <w:tab w:val="left" w:pos="0"/>
        </w:tabs>
        <w:rPr>
          <w:sz w:val="20"/>
          <w:szCs w:val="20"/>
        </w:rPr>
      </w:pPr>
      <w:r>
        <w:rPr>
          <w:sz w:val="20"/>
          <w:szCs w:val="20"/>
        </w:rPr>
        <w:t xml:space="preserve">(1) Eğer Yüklenici tek bir gerçek kişiyse bu kişinin vefatı halinde sözleşme kendiliğinden </w:t>
      </w:r>
      <w:r>
        <w:rPr>
          <w:sz w:val="20"/>
          <w:szCs w:val="20"/>
        </w:rPr>
        <w:t>fesholunmuş</w:t>
      </w:r>
      <w:r>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r>
        <w:rPr>
          <w:sz w:val="20"/>
          <w:szCs w:val="20"/>
        </w:rPr>
        <w:t>Makamı’nın</w:t>
      </w:r>
      <w:r>
        <w:rPr>
          <w:sz w:val="20"/>
          <w:szCs w:val="20"/>
        </w:rPr>
        <w:t xml:space="preserve"> kararı bu teklifin alınmasından itibaren 15 gün içinde ilgili varislere veya hak sahiplerine bildirilecektir.</w:t>
      </w:r>
    </w:p>
    <w:p w14:paraId="0000019B">
      <w:pPr>
        <w:tabs>
          <w:tab w:val="left" w:pos="0"/>
        </w:tabs>
        <w:rPr>
          <w:sz w:val="20"/>
          <w:szCs w:val="20"/>
        </w:rPr>
      </w:pPr>
      <w:r>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r>
        <w:rPr>
          <w:sz w:val="20"/>
          <w:szCs w:val="20"/>
        </w:rPr>
        <w:t xml:space="preserve">Sözleşme </w:t>
      </w:r>
      <w:r>
        <w:rPr>
          <w:sz w:val="20"/>
          <w:szCs w:val="20"/>
        </w:rPr>
        <w:t>Makamı’nın</w:t>
      </w:r>
      <w:r>
        <w:rPr>
          <w:sz w:val="20"/>
          <w:szCs w:val="20"/>
        </w:rPr>
        <w:t xml:space="preserve"> kararı bu husustaki teklifin alınmasından itibaren 30 gün içinde grubun sağ üyelerine veya ilgili varislere ya da hak sahiplerine bildirilecektir.</w:t>
      </w:r>
    </w:p>
    <w:p w14:paraId="0000019C">
      <w:pPr>
        <w:tabs>
          <w:tab w:val="left" w:pos="0"/>
        </w:tabs>
        <w:rPr>
          <w:sz w:val="20"/>
          <w:szCs w:val="20"/>
        </w:rPr>
      </w:pPr>
      <w:r>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0000019D">
      <w:pPr>
        <w:tabs>
          <w:tab w:val="left" w:pos="0"/>
        </w:tabs>
        <w:rPr>
          <w:sz w:val="20"/>
          <w:szCs w:val="20"/>
        </w:rPr>
      </w:pPr>
    </w:p>
    <w:p w14:paraId="0000019E">
      <w:pPr>
        <w:tabs>
          <w:tab w:val="left" w:pos="0"/>
        </w:tabs>
        <w:rPr>
          <w:sz w:val="20"/>
          <w:szCs w:val="20"/>
        </w:rPr>
      </w:pPr>
    </w:p>
    <w:p w14:paraId="0000019F">
      <w:pPr>
        <w:tabs>
          <w:tab w:val="left" w:pos="0"/>
        </w:tabs>
        <w:rPr>
          <w:sz w:val="20"/>
          <w:szCs w:val="20"/>
        </w:rPr>
      </w:pPr>
    </w:p>
    <w:p w14:paraId="000001A0">
      <w:pPr>
        <w:tabs>
          <w:tab w:val="left" w:pos="0"/>
        </w:tabs>
        <w:rPr>
          <w:sz w:val="20"/>
          <w:szCs w:val="20"/>
        </w:rPr>
      </w:pPr>
    </w:p>
    <w:p w14:paraId="000001A1">
      <w:pPr>
        <w:numPr>
          <w:ilvl w:val="0"/>
          <w:numId w:val="10"/>
        </w:numPr>
        <w:spacing w:before="120" w:beforeAutospacing="0" w:after="0" w:afterAutospacing="0" w:line="240" w:lineRule="auto"/>
        <w:jc w:val="both"/>
        <w:rPr>
          <w:b/>
          <w:sz w:val="20"/>
          <w:szCs w:val="20"/>
        </w:rPr>
      </w:pPr>
      <w:r>
        <w:rPr>
          <w:b/>
          <w:sz w:val="20"/>
          <w:szCs w:val="20"/>
        </w:rPr>
        <w:t xml:space="preserve">Süre uzatımı verilebilecek haller ve şartları </w:t>
      </w:r>
    </w:p>
    <w:p w14:paraId="000001A2">
      <w:pPr>
        <w:tabs>
          <w:tab w:val="left" w:pos="0"/>
        </w:tabs>
        <w:rPr>
          <w:sz w:val="20"/>
          <w:szCs w:val="20"/>
        </w:rPr>
      </w:pPr>
      <w:bookmarkStart w:id="3" w:name="_(1)_Süre_uzatımı_verilebilecek_hall"/>
      <w:bookmarkEnd w:id="3"/>
      <w:r>
        <w:rPr>
          <w:sz w:val="20"/>
          <w:szCs w:val="20"/>
        </w:rPr>
        <w:t>(</w:t>
      </w:r>
      <w:r>
        <w:rPr>
          <w:sz w:val="20"/>
          <w:szCs w:val="20"/>
        </w:rPr>
        <w:t>1) Süre uzatımı verilebilecek haller aşağıda sayılmıştır.</w:t>
      </w:r>
    </w:p>
    <w:p w14:paraId="000001A3">
      <w:pPr>
        <w:numPr>
          <w:ilvl w:val="0"/>
          <w:numId w:val="16"/>
        </w:numPr>
        <w:spacing w:before="120" w:beforeAutospacing="0" w:after="0" w:afterAutospacing="0" w:line="240" w:lineRule="auto"/>
        <w:ind w:left="709" w:hanging="283"/>
        <w:jc w:val="both"/>
        <w:rPr>
          <w:sz w:val="20"/>
          <w:szCs w:val="20"/>
        </w:rPr>
      </w:pPr>
      <w:r>
        <w:rPr>
          <w:sz w:val="20"/>
          <w:szCs w:val="20"/>
        </w:rPr>
        <w:t>Mücbir sebepler;</w:t>
      </w:r>
    </w:p>
    <w:p w14:paraId="000001A4">
      <w:pPr>
        <w:pStyle w:val="BodyTextIndent3"/>
        <w:spacing w:beforeAutospacing="0" w:after="0" w:afterAutospacing="0"/>
        <w:ind w:left="284"/>
        <w:rPr>
          <w:sz w:val="20"/>
          <w:szCs w:val="20"/>
          <w:lang w:val="tr-TR"/>
        </w:rPr>
      </w:pPr>
      <w:r>
        <w:rPr>
          <w:sz w:val="20"/>
          <w:szCs w:val="20"/>
          <w:lang w:val="tr-TR"/>
        </w:rPr>
        <w:t xml:space="preserve">         a) Doğal afetler.</w:t>
      </w:r>
    </w:p>
    <w:p w14:paraId="000001A5">
      <w:pPr>
        <w:ind w:left="1223" w:firstLine="205"/>
        <w:rPr>
          <w:sz w:val="20"/>
          <w:szCs w:val="20"/>
        </w:rPr>
      </w:pPr>
      <w:r>
        <w:rPr>
          <w:sz w:val="20"/>
          <w:szCs w:val="20"/>
        </w:rPr>
        <w:t>b) Kanuni grev.</w:t>
      </w:r>
    </w:p>
    <w:p w14:paraId="000001A6">
      <w:pPr>
        <w:ind w:left="708"/>
        <w:rPr>
          <w:sz w:val="20"/>
          <w:szCs w:val="20"/>
        </w:rPr>
      </w:pPr>
      <w:r>
        <w:rPr>
          <w:sz w:val="20"/>
          <w:szCs w:val="20"/>
        </w:rPr>
        <w:t>c) Genel salgın hastalık.</w:t>
      </w:r>
    </w:p>
    <w:p w14:paraId="000001A7">
      <w:pPr>
        <w:ind w:left="708"/>
        <w:rPr>
          <w:sz w:val="20"/>
          <w:szCs w:val="20"/>
        </w:rPr>
      </w:pPr>
      <w:r>
        <w:rPr>
          <w:sz w:val="20"/>
          <w:szCs w:val="20"/>
        </w:rPr>
        <w:t>d) Kısmi veya genel seferberlik ilanı.</w:t>
      </w:r>
    </w:p>
    <w:p w14:paraId="000001A8">
      <w:pPr>
        <w:ind w:left="708"/>
        <w:rPr>
          <w:sz w:val="20"/>
          <w:szCs w:val="20"/>
        </w:rPr>
      </w:pPr>
      <w:r>
        <w:rPr>
          <w:sz w:val="20"/>
          <w:szCs w:val="20"/>
        </w:rPr>
        <w:t xml:space="preserve">e) Gerektiğinde </w:t>
      </w:r>
      <w:r>
        <w:rPr>
          <w:sz w:val="20"/>
          <w:szCs w:val="20"/>
        </w:rPr>
        <w:t>Karacadağ Kalkınma Ajansı</w:t>
      </w:r>
      <w:r>
        <w:rPr>
          <w:sz w:val="20"/>
          <w:szCs w:val="20"/>
        </w:rPr>
        <w:t xml:space="preserve"> veya ilgili kurum/kuruluşlar tarafından belirlenecek benzeri diğer haller.</w:t>
      </w:r>
    </w:p>
    <w:p w14:paraId="000001A9">
      <w:pPr>
        <w:rPr>
          <w:sz w:val="20"/>
          <w:szCs w:val="20"/>
        </w:rPr>
      </w:pPr>
      <w:r>
        <w:rPr>
          <w:sz w:val="20"/>
          <w:szCs w:val="20"/>
        </w:rPr>
        <w:t xml:space="preserve">Yukarıda belirtilen hallerin mücbir sebep olarak kabul edilebilmesi ve süre uzatımı verilebilmesi için mücbir sebep oluşturacak durumun; </w:t>
      </w:r>
    </w:p>
    <w:p w14:paraId="000001AA">
      <w:pPr>
        <w:pStyle w:val="ListParagraph"/>
        <w:numPr>
          <w:ilvl w:val="0"/>
          <w:numId w:val="19"/>
        </w:numPr>
        <w:spacing w:before="120" w:beforeAutospacing="0" w:after="0" w:afterAutospacing="0" w:line="240" w:lineRule="auto"/>
        <w:jc w:val="both"/>
        <w:rPr>
          <w:sz w:val="20"/>
          <w:szCs w:val="20"/>
        </w:rPr>
      </w:pPr>
      <w:r>
        <w:rPr>
          <w:sz w:val="20"/>
          <w:szCs w:val="20"/>
        </w:rPr>
        <w:t xml:space="preserve">Yükleniciden kaynaklanan bir kusurdan ileri gelmemiş bulunması, </w:t>
      </w:r>
    </w:p>
    <w:p w14:paraId="000001AB">
      <w:pPr>
        <w:pStyle w:val="ListParagraph"/>
        <w:numPr>
          <w:ilvl w:val="0"/>
          <w:numId w:val="19"/>
        </w:numPr>
        <w:spacing w:before="120" w:beforeAutospacing="0" w:after="0" w:afterAutospacing="0" w:line="240" w:lineRule="auto"/>
        <w:jc w:val="both"/>
        <w:rPr>
          <w:sz w:val="20"/>
          <w:szCs w:val="20"/>
        </w:rPr>
      </w:pPr>
      <w:r>
        <w:rPr>
          <w:sz w:val="20"/>
          <w:szCs w:val="20"/>
        </w:rPr>
        <w:t xml:space="preserve">Taahhüdün yerine getirilmesine engel nitelikte olması, </w:t>
      </w:r>
    </w:p>
    <w:p w14:paraId="000001AC">
      <w:pPr>
        <w:pStyle w:val="ListParagraph"/>
        <w:numPr>
          <w:ilvl w:val="0"/>
          <w:numId w:val="19"/>
        </w:numPr>
        <w:spacing w:before="120" w:beforeAutospacing="0" w:after="0" w:afterAutospacing="0" w:line="240" w:lineRule="auto"/>
        <w:jc w:val="both"/>
        <w:rPr>
          <w:sz w:val="20"/>
          <w:szCs w:val="20"/>
        </w:rPr>
      </w:pPr>
      <w:r>
        <w:rPr>
          <w:sz w:val="20"/>
          <w:szCs w:val="20"/>
        </w:rPr>
        <w:t xml:space="preserve">Yüklenicinin bu engeli ortadan kaldırmaya gücünün yetmemiş olması, </w:t>
      </w:r>
    </w:p>
    <w:p w14:paraId="000001AD">
      <w:pPr>
        <w:pStyle w:val="ListParagraph"/>
        <w:numPr>
          <w:ilvl w:val="0"/>
          <w:numId w:val="19"/>
        </w:numPr>
        <w:spacing w:before="120" w:beforeAutospacing="0" w:after="0" w:afterAutospacing="0" w:line="240" w:lineRule="auto"/>
        <w:jc w:val="both"/>
        <w:rPr>
          <w:sz w:val="20"/>
          <w:szCs w:val="20"/>
        </w:rPr>
      </w:pPr>
      <w:r>
        <w:rPr>
          <w:sz w:val="20"/>
          <w:szCs w:val="20"/>
        </w:rPr>
        <w:t xml:space="preserve">Mücbir sebebin meydana geldiği tarihi izleyen yirmi (20) gün içinde yüklenicinin Sözleşme Makamına ve ilgili Ajansa yazılı olarak bildirimde bulunması </w:t>
      </w:r>
    </w:p>
    <w:p w14:paraId="000001AE">
      <w:pPr>
        <w:pStyle w:val="ListParagraph"/>
        <w:numPr>
          <w:ilvl w:val="0"/>
          <w:numId w:val="19"/>
        </w:numPr>
        <w:spacing w:before="120" w:beforeAutospacing="0" w:after="0" w:afterAutospacing="0" w:line="240" w:lineRule="auto"/>
        <w:jc w:val="both"/>
        <w:rPr>
          <w:sz w:val="20"/>
          <w:szCs w:val="20"/>
        </w:rPr>
      </w:pPr>
      <w:r>
        <w:rPr>
          <w:sz w:val="20"/>
          <w:szCs w:val="20"/>
        </w:rPr>
        <w:t>Yetkili merciler tarafından belgelendirilmesi,</w:t>
      </w:r>
    </w:p>
    <w:p w14:paraId="000001AF">
      <w:pPr>
        <w:rPr>
          <w:sz w:val="20"/>
          <w:szCs w:val="20"/>
        </w:rPr>
      </w:pPr>
      <w:r>
        <w:rPr>
          <w:sz w:val="20"/>
          <w:szCs w:val="20"/>
        </w:rPr>
        <w:t xml:space="preserve"> </w:t>
      </w:r>
      <w:r>
        <w:rPr>
          <w:sz w:val="20"/>
          <w:szCs w:val="20"/>
        </w:rPr>
        <w:t>zorunludur</w:t>
      </w:r>
      <w:r>
        <w:rPr>
          <w:sz w:val="20"/>
          <w:szCs w:val="20"/>
        </w:rPr>
        <w:t>.</w:t>
      </w:r>
    </w:p>
    <w:p w14:paraId="000001B0">
      <w:pPr>
        <w:numPr>
          <w:ilvl w:val="0"/>
          <w:numId w:val="16"/>
        </w:numPr>
        <w:tabs>
          <w:tab w:val="left" w:pos="0"/>
        </w:tabs>
        <w:spacing w:before="120" w:beforeAutospacing="0" w:after="0" w:afterAutospacing="0" w:line="240" w:lineRule="auto"/>
        <w:jc w:val="both"/>
        <w:rPr>
          <w:sz w:val="20"/>
          <w:szCs w:val="20"/>
        </w:rPr>
      </w:pPr>
      <w:r>
        <w:rPr>
          <w:sz w:val="20"/>
          <w:szCs w:val="20"/>
        </w:rPr>
        <w:t>Sözleşme Makamından kaynaklanan sebepler</w:t>
      </w:r>
    </w:p>
    <w:p w14:paraId="000001B1">
      <w:pPr>
        <w:tabs>
          <w:tab w:val="left" w:pos="0"/>
        </w:tabs>
        <w:rPr>
          <w:sz w:val="20"/>
          <w:szCs w:val="20"/>
        </w:rPr>
      </w:pPr>
      <w:r>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000001B2">
      <w:pPr>
        <w:tabs>
          <w:tab w:val="left" w:pos="0"/>
        </w:tabs>
        <w:rPr>
          <w:sz w:val="20"/>
          <w:szCs w:val="20"/>
        </w:rPr>
      </w:pPr>
      <w:r>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000001B3">
      <w:pPr>
        <w:tabs>
          <w:tab w:val="left" w:pos="0"/>
        </w:tabs>
        <w:rPr>
          <w:sz w:val="20"/>
          <w:szCs w:val="20"/>
        </w:rPr>
      </w:pPr>
      <w:r>
        <w:rPr>
          <w:sz w:val="20"/>
          <w:szCs w:val="20"/>
        </w:rPr>
        <w:t>(3) Mücbir sebep durumundan etkilenen taraf sözleşme altındaki yükümlülüklerini asgari gecikmeyle yerine getirebilecek şekilde bu durumu ortadan kaldırmak için tüm makul tedbirleri alacaktır.</w:t>
      </w:r>
    </w:p>
    <w:p w14:paraId="000001B4">
      <w:pPr>
        <w:tabs>
          <w:tab w:val="left" w:pos="0"/>
        </w:tabs>
        <w:rPr>
          <w:sz w:val="20"/>
          <w:szCs w:val="20"/>
        </w:rPr>
      </w:pPr>
      <w:r>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r>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000001B5">
      <w:pPr>
        <w:tabs>
          <w:tab w:val="left" w:pos="0"/>
        </w:tabs>
        <w:rPr>
          <w:sz w:val="20"/>
          <w:szCs w:val="20"/>
        </w:rPr>
      </w:pPr>
      <w:r>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14:paraId="000001B6">
      <w:pPr>
        <w:tabs>
          <w:tab w:val="left" w:pos="0"/>
        </w:tabs>
        <w:rPr>
          <w:sz w:val="20"/>
          <w:szCs w:val="20"/>
        </w:rPr>
      </w:pPr>
      <w:r>
        <w:rPr>
          <w:sz w:val="20"/>
          <w:szCs w:val="20"/>
        </w:rPr>
        <w:t xml:space="preserve">(6)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w:t>
      </w:r>
      <w:r>
        <w:rPr>
          <w:sz w:val="20"/>
          <w:szCs w:val="20"/>
        </w:rPr>
        <w:t>mücbir sebep durumu hala devam ediyorsa, sözleşme feshedilecek ve bunun neticesinde taraflar sözleşme altındaki yükümlülüklerini yerine getirmeyi sürdürmekten kurtulmuş olacaklardır.</w:t>
      </w:r>
    </w:p>
    <w:p w14:paraId="000001B7">
      <w:pPr>
        <w:jc w:val="center"/>
        <w:rPr>
          <w:b/>
          <w:sz w:val="20"/>
          <w:szCs w:val="20"/>
        </w:rPr>
      </w:pPr>
    </w:p>
    <w:p w14:paraId="000001B8">
      <w:pPr>
        <w:jc w:val="center"/>
        <w:rPr>
          <w:b/>
          <w:sz w:val="20"/>
          <w:szCs w:val="20"/>
        </w:rPr>
      </w:pPr>
      <w:r>
        <w:rPr>
          <w:b/>
          <w:sz w:val="20"/>
          <w:szCs w:val="20"/>
        </w:rPr>
        <w:t>İHTİLAFLARIN HALLİ</w:t>
      </w:r>
    </w:p>
    <w:p w14:paraId="000001B9">
      <w:pPr>
        <w:numPr>
          <w:ilvl w:val="0"/>
          <w:numId w:val="10"/>
        </w:numPr>
        <w:spacing w:before="120" w:beforeAutospacing="0" w:after="0" w:afterAutospacing="0" w:line="240" w:lineRule="auto"/>
        <w:jc w:val="both"/>
        <w:rPr>
          <w:b/>
          <w:sz w:val="20"/>
          <w:szCs w:val="20"/>
        </w:rPr>
      </w:pPr>
      <w:r>
        <w:rPr>
          <w:b/>
          <w:sz w:val="20"/>
          <w:szCs w:val="20"/>
        </w:rPr>
        <w:t>İhtilafların halli</w:t>
      </w:r>
    </w:p>
    <w:p w14:paraId="000001BA">
      <w:pPr>
        <w:tabs>
          <w:tab w:val="left" w:pos="0"/>
        </w:tabs>
        <w:rPr>
          <w:sz w:val="20"/>
          <w:szCs w:val="20"/>
        </w:rPr>
      </w:pPr>
      <w:r>
        <w:rPr>
          <w:sz w:val="20"/>
          <w:szCs w:val="20"/>
        </w:rPr>
        <w:t>(1) Sözleşme Makamı ve Yüklenici, sözleşmeyle ilgili olarak kendi aralarında çıkabilecek her türlü ihtilafı dostane yollarla çözmek için ellerinden gelen tüm çabayı harcayacaklardır.</w:t>
      </w:r>
    </w:p>
    <w:p w14:paraId="000001BB">
      <w:pPr>
        <w:tabs>
          <w:tab w:val="left" w:pos="0"/>
        </w:tabs>
        <w:rPr>
          <w:sz w:val="20"/>
          <w:szCs w:val="20"/>
        </w:rPr>
      </w:pPr>
      <w:r>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000001BC">
      <w:pPr>
        <w:tabs>
          <w:tab w:val="left" w:pos="0"/>
        </w:tabs>
        <w:rPr>
          <w:sz w:val="20"/>
          <w:szCs w:val="20"/>
        </w:rPr>
      </w:pPr>
      <w:r>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Karacadağ Kalkınma Ajansı</w:t>
      </w:r>
      <w:r>
        <w:rPr>
          <w:sz w:val="20"/>
          <w:szCs w:val="20"/>
        </w:rPr>
        <w:t xml:space="preserve">nın uzlaştırmasıyla çözümlenmesini kararlaştırabilirler. Uzlaştırma sürecinin başlamasından itibaren 60 gün içinde ihtilaf halledilemezse, sözleşme taraflarının her biri ihtilaf çözümleme </w:t>
      </w:r>
      <w:r>
        <w:rPr>
          <w:sz w:val="20"/>
          <w:szCs w:val="20"/>
        </w:rPr>
        <w:t>prosedürüyle</w:t>
      </w:r>
      <w:r>
        <w:rPr>
          <w:sz w:val="20"/>
          <w:szCs w:val="20"/>
        </w:rPr>
        <w:t xml:space="preserve"> ilgili bir sonraki aşamaya geçme hakkına sahip olacaktır. </w:t>
      </w:r>
    </w:p>
    <w:p w14:paraId="000001BD">
      <w:pPr>
        <w:tabs>
          <w:tab w:val="left" w:pos="0"/>
        </w:tabs>
        <w:rPr>
          <w:sz w:val="20"/>
          <w:szCs w:val="20"/>
        </w:rPr>
      </w:pPr>
      <w:r>
        <w:rPr>
          <w:sz w:val="20"/>
          <w:szCs w:val="20"/>
        </w:rPr>
        <w:t xml:space="preserve">(4) Dostane çözüme veya uzlaştırma yoluyla ihtilafın halline bu </w:t>
      </w:r>
      <w:r>
        <w:rPr>
          <w:sz w:val="20"/>
          <w:szCs w:val="20"/>
        </w:rPr>
        <w:t>prosedürlerden</w:t>
      </w:r>
      <w:r>
        <w:rPr>
          <w:sz w:val="20"/>
          <w:szCs w:val="20"/>
        </w:rPr>
        <w:t xml:space="preserve"> birinin başlamasından itibaren 120 gün içinde ulaşılamazsa, tarafların her biri Özel Koşulların ilgili Maddesinde belirtildiği şekilde ihtilafın çözümlenmesini ulusal bir kaza merciinin kararına veya tahkim kararına havale edebilir.</w:t>
      </w:r>
    </w:p>
    <w:p w14:paraId="000001BE">
      <w:pPr>
        <w:jc w:val="center"/>
        <w:rPr>
          <w:b/>
          <w:sz w:val="20"/>
          <w:szCs w:val="20"/>
        </w:rPr>
      </w:pPr>
      <w:r>
        <w:rPr>
          <w:b/>
          <w:sz w:val="20"/>
          <w:szCs w:val="20"/>
        </w:rPr>
        <w:t>HÜKÜM BULUNMAYAN HALLER</w:t>
      </w:r>
    </w:p>
    <w:p w14:paraId="000001BF">
      <w:pPr>
        <w:numPr>
          <w:ilvl w:val="0"/>
          <w:numId w:val="10"/>
        </w:numPr>
        <w:spacing w:before="120" w:beforeAutospacing="0" w:after="0" w:afterAutospacing="0" w:line="240" w:lineRule="auto"/>
        <w:jc w:val="both"/>
        <w:rPr>
          <w:b/>
          <w:sz w:val="20"/>
          <w:szCs w:val="20"/>
        </w:rPr>
      </w:pPr>
      <w:r>
        <w:rPr>
          <w:b/>
          <w:sz w:val="20"/>
          <w:szCs w:val="20"/>
        </w:rPr>
        <w:t>Hüküm bulunmayan haller</w:t>
      </w:r>
    </w:p>
    <w:p w14:paraId="000001C0">
      <w:pPr>
        <w:tabs>
          <w:tab w:val="left" w:pos="0"/>
        </w:tabs>
        <w:rPr>
          <w:sz w:val="20"/>
          <w:szCs w:val="20"/>
        </w:rPr>
      </w:pPr>
      <w:r>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00001C1">
      <w:pPr>
        <w:rPr>
          <w:sz w:val="20"/>
          <w:szCs w:val="20"/>
        </w:rPr>
      </w:pPr>
    </w:p>
    <w:p w14:paraId="000001C2"/>
    <w:p w14:paraId="000001C3"/>
    <w:p w14:paraId="000001C4"/>
    <w:sectPr>
      <w:pgSz w:w="11906" w:h="16838"/>
      <w:pgMar w:top="1440" w:right="1440" w:bottom="1440" w:left="1440" w:header="708" w:footer="708" w:gutter="0"/>
      <w:paperSrc w:first="1" w:other="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4C9718" w15:done="0"/>
  <w15:commentEx w15:paraId="414D24A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mc:Ignorable="w14 wp14 ">
  <w:endnote w:type="separator" w:id="0">
    <w:p w14:paraId="00000005">
      <w:pPr>
        <w:spacing w:beforeAutospacing="0" w:after="0" w:afterAutospacing="0" w:line="240" w:lineRule="auto"/>
        <w:rPr/>
      </w:pPr>
      <w:r>
        <w:rPr/>
        <w:separator/>
      </w:r>
    </w:p>
  </w:endnote>
  <w:endnote w:type="continuationSeparator" w:id="1">
    <w:p w14:paraId="00000006">
      <w:pPr>
        <w:spacing w:beforeAutospacing="0" w:after="0" w:afterAutospacing="0" w:line="240" w:lineRule="auto"/>
        <w:rPr/>
      </w:pPr>
      <w:r>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9" w:usb3="00000000" w:csb0="000001ff" w:csb1="00000000"/>
  </w:font>
  <w:font w:name="Symbol">
    <w:panose1 w:val="05050102010706020507"/>
    <w:charset w:val="02"/>
    <w:family w:val="roman"/>
    <w:pitch w:val="variable"/>
    <w:sig w:usb0="00000000" w:usb1="10000000" w:usb2="00000000" w:usb3="00000000" w:csb0="00000000" w:csb1="00000000"/>
  </w:font>
  <w:font w:name="Wingdings">
    <w:panose1 w:val="05000000000000000000"/>
    <w:charset w:val="02"/>
    <w:family w:val="auto"/>
    <w:pitch w:val="variable"/>
    <w:sig w:usb0="00000000" w:usb1="10000000" w:usb2="00000000" w:usb3="00000000" w:csb0="00000000" w:csb1="00000000"/>
  </w:font>
  <w:font w:name="Courier New">
    <w:panose1 w:val="02070309020205020404"/>
    <w:charset w:val="a2"/>
    <w:family w:val="modern"/>
    <w:pitch w:val="fixed"/>
    <w:sig w:usb0="00000000" w:usb1="00000000" w:usb2="00000009" w:usb3="00000000" w:csb0="000001ff" w:csb1="00000000"/>
  </w:font>
  <w:font w:name="Calibri">
    <w:panose1 w:val="020f0502020204030204"/>
    <w:charset w:val="a2"/>
    <w:family w:val="swiss"/>
    <w:pitch w:val="variable"/>
    <w:sig w:usb0="00000000" w:usb1="00000000"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00000000" w:usb1="00000000" w:usb2="00000009" w:usb3="00000000" w:csb0="000001ff" w:csb1="00000000"/>
  </w:font>
  <w:font w:name="Calibri Light">
    <w:panose1 w:val="020f0302020204030204"/>
    <w:charset w:val="a2"/>
    <w:family w:val="swiss"/>
    <w:pitch w:val="variable"/>
    <w:sig w:usb0="00000000" w:usb1="00000000" w:usb2="00000009" w:usb3="00000000" w:csb0="000001ff" w:csb1="00000000"/>
  </w:font>
  <w:font w:name="DengXian Light">
    <w:altName w:val="等线 Light"/>
    <w:panose1 w:val="00000000000000000000"/>
    <w:charset w:val="86"/>
    <w:family w:val="roman"/>
    <w:notTrueType w:val="on"/>
    <w:pitch w:val="default"/>
  </w:font>
  <w:font w:name="Segoe UI">
    <w:panose1 w:val="020b0502040204020203"/>
    <w:charset w:val="a2"/>
    <w:family w:val="swiss"/>
    <w:pitch w:val="variable"/>
    <w:sig w:usb0="00000000" w:usb1="00000000"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Verdana">
    <w:panose1 w:val="020b0604030504040204"/>
    <w:charset w:val="00"/>
    <w:family w:val="roman"/>
    <w:pitch w:val="variable"/>
    <w:sig w:usb0="a10006ff" w:usb1="4000205b" w:usb2="00000010" w:usb3="00000000" w:csb0="0000019f" w:csb1="00000000"/>
  </w:font>
  <w:font w:name="Helvetica Neue">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mc:Ignorable="w14 wp14 ">
  <w:footnote w:type="separator" w:id="0">
    <w:p w14:paraId="00000001">
      <w:pPr>
        <w:spacing w:beforeAutospacing="0" w:after="0" w:afterAutospacing="0" w:line="240" w:lineRule="auto"/>
        <w:rPr/>
      </w:pPr>
      <w:r>
        <w:rPr/>
        <w:separator/>
      </w:r>
    </w:p>
  </w:footnote>
  <w:footnote w:type="continuationSeparator" w:id="1">
    <w:p w14:paraId="00000002">
      <w:pPr>
        <w:spacing w:beforeAutospacing="0" w:after="0" w:afterAutospacing="0" w:line="240" w:lineRule="auto"/>
        <w:rPr/>
      </w:pPr>
      <w:r>
        <w:rPr/>
        <w:continuationSeparator/>
      </w:r>
    </w:p>
  </w:footnote>
  <w:footnote w:id="2">
    <w:p w14:paraId="00000003">
      <w:pPr>
        <w:pStyle w:val="Footnotetext"/>
        <w:rPr>
          <w:sz w:val="18"/>
          <w:szCs w:val="18"/>
        </w:rPr>
      </w:pPr>
      <w:r>
        <w:rPr>
          <w:rStyle w:val="Footnotereference"/>
          <w:sz w:val="18"/>
          <w:szCs w:val="18"/>
        </w:rPr>
        <w:footnoteRef/>
      </w:r>
      <w:r>
        <w:rPr>
          <w:sz w:val="18"/>
          <w:szCs w:val="18"/>
        </w:rPr>
        <w:t xml:space="preserve"> Yüklenici olan taraf şahıs olduğu durumlarda</w:t>
      </w:r>
      <w:r>
        <w:rPr>
          <w:color w:val="000000"/>
          <w:sz w:val="18"/>
          <w:szCs w:val="18"/>
        </w:rPr>
        <w:t>.</w:t>
      </w:r>
    </w:p>
  </w:footnote>
  <w:footnote w:id="3">
    <w:p w14:paraId="00000004">
      <w:pPr>
        <w:pStyle w:val="Footnotetext"/>
        <w:rPr>
          <w:sz w:val="16"/>
        </w:rPr>
      </w:pPr>
      <w:r>
        <w:rPr>
          <w:rStyle w:val="Footnotereference"/>
          <w:sz w:val="18"/>
          <w:szCs w:val="18"/>
        </w:rPr>
        <w:footnoteRef/>
      </w:r>
      <w:r>
        <w:rPr>
          <w:sz w:val="18"/>
          <w:szCs w:val="18"/>
        </w:rPr>
        <w:t xml:space="preserve"> Geçerli olan hallerde. Şahıslar için, kimlik numarası, pasaport ya da eşdeğer diğer belge numarasını belirtiniz.</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multilevel"/>
    <w:lvl w:ilvl="0" w:tentative="0">
      <w:start w:val="1"/>
      <w:numFmt w:val="decimal"/>
      <w:lvlText w:val="Madde %1)"/>
      <w:lvlJc w:val="left"/>
      <w:pPr>
        <w:tabs>
          <w:tab w:val="num" w:pos="360"/>
        </w:tabs>
        <w:ind w:left="360" w:hanging="360"/>
      </w:pPr>
      <w:rPr>
        <w:rFonts w:hint="default"/>
        <w:b/>
      </w:rPr>
    </w:lvl>
    <w:lvl w:ilvl="1" w:tentative="0">
      <w:start w:val="1"/>
      <w:numFmt w:val="decimal"/>
      <w:lvlText w:val="%1.%2)"/>
      <w:lvlJc w:val="left"/>
      <w:pPr>
        <w:tabs>
          <w:tab w:val="num" w:pos="720"/>
        </w:tabs>
        <w:ind w:left="720" w:hanging="360"/>
      </w:pPr>
      <w:rPr>
        <w:rFonts w:hint="default"/>
      </w:rPr>
    </w:lvl>
    <w:lvl w:ilvl="2" w:tentative="0">
      <w:start w:val="1"/>
      <w:numFmt w:val="lowerRoman"/>
      <w:lvlText w:val="%3)"/>
      <w:lvlJc w:val="left"/>
      <w:pPr>
        <w:tabs>
          <w:tab w:val="num" w:pos="1080"/>
        </w:tabs>
        <w:ind w:left="1080" w:hanging="360"/>
      </w:pPr>
      <w:rPr>
        <w:rFonts w:hint="default"/>
      </w:rPr>
    </w:lvl>
    <w:lvl w:ilvl="3" w:tentative="0">
      <w:start w:val="1"/>
      <w:numFmt w:val="decimal"/>
      <w:lvlText w:val="(%4)"/>
      <w:lvlJc w:val="left"/>
      <w:pPr>
        <w:tabs>
          <w:tab w:val="num" w:pos="1440"/>
        </w:tabs>
        <w:ind w:left="1440" w:hanging="360"/>
      </w:pPr>
      <w:rPr>
        <w:rFonts w:hint="default"/>
      </w:rPr>
    </w:lvl>
    <w:lvl w:ilvl="4" w:tentative="0">
      <w:start w:val="1"/>
      <w:numFmt w:val="lowerLetter"/>
      <w:lvlText w:val="(%5)"/>
      <w:lvlJc w:val="left"/>
      <w:pPr>
        <w:tabs>
          <w:tab w:val="num" w:pos="1800"/>
        </w:tabs>
        <w:ind w:left="1800" w:hanging="360"/>
      </w:pPr>
      <w:rPr>
        <w:rFonts w:hint="default"/>
      </w:rPr>
    </w:lvl>
    <w:lvl w:ilvl="5" w:tentative="0">
      <w:start w:val="1"/>
      <w:numFmt w:val="lowerRoman"/>
      <w:lvlText w:val="(%6)"/>
      <w:lvlJc w:val="left"/>
      <w:pPr>
        <w:tabs>
          <w:tab w:val="num" w:pos="2160"/>
        </w:tabs>
        <w:ind w:left="2160" w:hanging="360"/>
      </w:pPr>
      <w:rPr>
        <w:rFonts w:hint="default"/>
      </w:rPr>
    </w:lvl>
    <w:lvl w:ilvl="6" w:tentative="0">
      <w:start w:val="1"/>
      <w:numFmt w:val="decimal"/>
      <w:lvlText w:val="%7."/>
      <w:lvlJc w:val="left"/>
      <w:pPr>
        <w:tabs>
          <w:tab w:val="num" w:pos="2520"/>
        </w:tabs>
        <w:ind w:left="2520" w:hanging="360"/>
      </w:pPr>
      <w:rPr>
        <w:rFonts w:hint="default"/>
        <w:b w:val="off"/>
      </w:rPr>
    </w:lvl>
    <w:lvl w:ilvl="7" w:tentative="0">
      <w:start w:val="1"/>
      <w:numFmt w:val="lowerLetter"/>
      <w:lvlText w:val="%8."/>
      <w:lvlJc w:val="left"/>
      <w:pPr>
        <w:tabs>
          <w:tab w:val="num" w:pos="2880"/>
        </w:tabs>
        <w:ind w:left="2880" w:hanging="360"/>
      </w:pPr>
      <w:rPr>
        <w:rFonts w:hint="default"/>
      </w:rPr>
    </w:lvl>
    <w:lvl w:ilvl="8" w:tentative="0">
      <w:start w:val="1"/>
      <w:numFmt w:val="lowerRoman"/>
      <w:lvlText w:val="%9."/>
      <w:lvlJc w:val="left"/>
      <w:pPr>
        <w:tabs>
          <w:tab w:val="num" w:pos="3240"/>
        </w:tabs>
        <w:ind w:left="3240" w:hanging="360"/>
      </w:pPr>
      <w:rPr>
        <w:rFonts w:hint="default"/>
      </w:rPr>
    </w:lvl>
  </w:abstractNum>
  <w:abstractNum w:abstractNumId="1">
    <w:multiLevelType w:val="multilevel"/>
    <w:lvl w:ilvl="0" w:tentative="0">
      <w:start w:val="9"/>
      <w:numFmt w:val="decimal"/>
      <w:lvlText w:val="%1"/>
      <w:lvlJc w:val="left"/>
      <w:pPr>
        <w:tabs>
          <w:tab w:val="num" w:pos="570"/>
        </w:tabs>
        <w:ind w:left="570" w:hanging="570"/>
      </w:pPr>
      <w:rPr>
        <w:rFonts w:hint="default"/>
      </w:rPr>
    </w:lvl>
    <w:lvl w:ilvl="1" w:tentative="0">
      <w:start w:val="1"/>
      <w:numFmt w:val="decimal"/>
      <w:lvlText w:val="8.%2"/>
      <w:lvlJc w:val="left"/>
      <w:pPr>
        <w:tabs>
          <w:tab w:val="num" w:pos="570"/>
        </w:tabs>
        <w:ind w:left="570" w:hanging="570"/>
      </w:pPr>
      <w:rPr>
        <w:rFonts w:hint="default"/>
      </w:rPr>
    </w:lvl>
    <w:lvl w:ilvl="2" w:tentative="0">
      <w:start w:val="1"/>
      <w:numFmt w:val="decimal"/>
      <w:lvlText w:val="%1.%2.%3"/>
      <w:lvlJc w:val="left"/>
      <w:pPr>
        <w:tabs>
          <w:tab w:val="num" w:pos="720"/>
        </w:tabs>
        <w:ind w:left="720" w:hanging="720"/>
      </w:pPr>
      <w:rPr>
        <w:rFonts w:hint="default"/>
      </w:rPr>
    </w:lvl>
    <w:lvl w:ilvl="3" w:tentative="0">
      <w:start w:val="1"/>
      <w:numFmt w:val="decimal"/>
      <w:lvlText w:val="%1.%2.%3.%4"/>
      <w:lvlJc w:val="left"/>
      <w:pPr>
        <w:tabs>
          <w:tab w:val="num" w:pos="720"/>
        </w:tabs>
        <w:ind w:left="720" w:hanging="720"/>
      </w:pPr>
      <w:rPr>
        <w:rFonts w:hint="default"/>
      </w:rPr>
    </w:lvl>
    <w:lvl w:ilvl="4" w:tentative="0">
      <w:start w:val="1"/>
      <w:numFmt w:val="decimal"/>
      <w:lvlText w:val="%1.%2.%3.%4.%5"/>
      <w:lvlJc w:val="left"/>
      <w:pPr>
        <w:tabs>
          <w:tab w:val="num" w:pos="1080"/>
        </w:tabs>
        <w:ind w:left="1080" w:hanging="1080"/>
      </w:pPr>
      <w:rPr>
        <w:rFonts w:hint="default"/>
      </w:rPr>
    </w:lvl>
    <w:lvl w:ilvl="5" w:tentative="0">
      <w:start w:val="1"/>
      <w:numFmt w:val="decimal"/>
      <w:lvlText w:val="%1.%2.%3.%4.%5.%6"/>
      <w:lvlJc w:val="left"/>
      <w:pPr>
        <w:tabs>
          <w:tab w:val="num" w:pos="1080"/>
        </w:tabs>
        <w:ind w:left="1080" w:hanging="1080"/>
      </w:pPr>
      <w:rPr>
        <w:rFonts w:hint="default"/>
      </w:rPr>
    </w:lvl>
    <w:lvl w:ilvl="6" w:tentative="0">
      <w:start w:val="1"/>
      <w:numFmt w:val="decimal"/>
      <w:lvlText w:val="%1.%2.%3.%4.%5.%6.%7"/>
      <w:lvlJc w:val="left"/>
      <w:pPr>
        <w:tabs>
          <w:tab w:val="num" w:pos="1440"/>
        </w:tabs>
        <w:ind w:left="1440" w:hanging="1440"/>
      </w:pPr>
      <w:rPr>
        <w:rFonts w:hint="default"/>
      </w:rPr>
    </w:lvl>
    <w:lvl w:ilvl="7" w:tentative="0">
      <w:start w:val="1"/>
      <w:numFmt w:val="decimal"/>
      <w:lvlText w:val="%1.%2.%3.%4.%5.%6.%7.%8"/>
      <w:lvlJc w:val="left"/>
      <w:pPr>
        <w:tabs>
          <w:tab w:val="num" w:pos="1440"/>
        </w:tabs>
        <w:ind w:left="1440" w:hanging="1440"/>
      </w:pPr>
      <w:rPr>
        <w:rFonts w:hint="default"/>
      </w:rPr>
    </w:lvl>
    <w:lvl w:ilvl="8" w:tentative="0">
      <w:start w:val="1"/>
      <w:numFmt w:val="decimal"/>
      <w:lvlText w:val="%1.%2.%3.%4.%5.%6.%7.%8.%9"/>
      <w:lvlJc w:val="left"/>
      <w:pPr>
        <w:tabs>
          <w:tab w:val="num" w:pos="1440"/>
        </w:tabs>
        <w:ind w:left="1440" w:hanging="1440"/>
      </w:pPr>
      <w:rPr>
        <w:rFonts w:hint="default"/>
      </w:rPr>
    </w:lvl>
  </w:abstractNum>
  <w:abstractNum w:abstractNumId="2">
    <w:multiLevelType w:val="hybridMultilevel"/>
    <w:lvl w:ilvl="0" w:tentative="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multiLevelType w:val="multilevel"/>
    <w:lvl w:ilvl="0" w:tentative="0">
      <w:start w:val="7"/>
      <w:numFmt w:val="decimal"/>
      <w:lvlText w:val="%1"/>
      <w:lvlJc w:val="left"/>
      <w:pPr>
        <w:tabs>
          <w:tab w:val="num" w:pos="360"/>
        </w:tabs>
        <w:ind w:left="360" w:hanging="360"/>
      </w:pPr>
      <w:rPr>
        <w:rFonts w:hint="default"/>
      </w:rPr>
    </w:lvl>
    <w:lvl w:ilvl="1" w:tentative="0">
      <w:start w:val="1"/>
      <w:numFmt w:val="decimal"/>
      <w:lvlText w:val="%1.%2"/>
      <w:lvlJc w:val="left"/>
      <w:pPr>
        <w:tabs>
          <w:tab w:val="num" w:pos="360"/>
        </w:tabs>
        <w:ind w:left="360" w:hanging="360"/>
      </w:pPr>
      <w:rPr>
        <w:rFonts w:hint="default"/>
      </w:rPr>
    </w:lvl>
    <w:lvl w:ilvl="2" w:tentative="0">
      <w:start w:val="1"/>
      <w:numFmt w:val="decimal"/>
      <w:lvlText w:val="%1.%2.%3"/>
      <w:lvlJc w:val="left"/>
      <w:pPr>
        <w:tabs>
          <w:tab w:val="num" w:pos="720"/>
        </w:tabs>
        <w:ind w:left="720" w:hanging="720"/>
      </w:pPr>
      <w:rPr>
        <w:rFonts w:hint="default"/>
      </w:rPr>
    </w:lvl>
    <w:lvl w:ilvl="3" w:tentative="0">
      <w:start w:val="1"/>
      <w:numFmt w:val="decimal"/>
      <w:lvlText w:val="%1.%2.%3.%4"/>
      <w:lvlJc w:val="left"/>
      <w:pPr>
        <w:tabs>
          <w:tab w:val="num" w:pos="720"/>
        </w:tabs>
        <w:ind w:left="720" w:hanging="720"/>
      </w:pPr>
      <w:rPr>
        <w:rFonts w:hint="default"/>
      </w:rPr>
    </w:lvl>
    <w:lvl w:ilvl="4" w:tentative="0">
      <w:start w:val="1"/>
      <w:numFmt w:val="decimal"/>
      <w:lvlText w:val="%1.%2.%3.%4.%5"/>
      <w:lvlJc w:val="left"/>
      <w:pPr>
        <w:tabs>
          <w:tab w:val="num" w:pos="720"/>
        </w:tabs>
        <w:ind w:left="720" w:hanging="720"/>
      </w:pPr>
      <w:rPr>
        <w:rFonts w:hint="default"/>
      </w:rPr>
    </w:lvl>
    <w:lvl w:ilvl="5" w:tentative="0">
      <w:start w:val="1"/>
      <w:numFmt w:val="decimal"/>
      <w:lvlText w:val="%1.%2.%3.%4.%5.%6"/>
      <w:lvlJc w:val="left"/>
      <w:pPr>
        <w:tabs>
          <w:tab w:val="num" w:pos="1080"/>
        </w:tabs>
        <w:ind w:left="1080" w:hanging="1080"/>
      </w:pPr>
      <w:rPr>
        <w:rFonts w:hint="default"/>
      </w:rPr>
    </w:lvl>
    <w:lvl w:ilvl="6" w:tentative="0">
      <w:start w:val="1"/>
      <w:numFmt w:val="decimal"/>
      <w:lvlText w:val="%1.%2.%3.%4.%5.%6.%7"/>
      <w:lvlJc w:val="left"/>
      <w:pPr>
        <w:tabs>
          <w:tab w:val="num" w:pos="1080"/>
        </w:tabs>
        <w:ind w:left="1080" w:hanging="1080"/>
      </w:pPr>
      <w:rPr>
        <w:rFonts w:hint="default"/>
      </w:rPr>
    </w:lvl>
    <w:lvl w:ilvl="7" w:tentative="0">
      <w:start w:val="1"/>
      <w:numFmt w:val="decimal"/>
      <w:lvlText w:val="%1.%2.%3.%4.%5.%6.%7.%8"/>
      <w:lvlJc w:val="left"/>
      <w:pPr>
        <w:tabs>
          <w:tab w:val="num" w:pos="1440"/>
        </w:tabs>
        <w:ind w:left="1440" w:hanging="1440"/>
      </w:pPr>
      <w:rPr>
        <w:rFonts w:hint="default"/>
      </w:rPr>
    </w:lvl>
    <w:lvl w:ilvl="8" w:tentative="0">
      <w:start w:val="1"/>
      <w:numFmt w:val="decimal"/>
      <w:lvlText w:val="%1.%2.%3.%4.%5.%6.%7.%8.%9"/>
      <w:lvlJc w:val="left"/>
      <w:pPr>
        <w:tabs>
          <w:tab w:val="num" w:pos="1440"/>
        </w:tabs>
        <w:ind w:left="1440" w:hanging="1440"/>
      </w:pPr>
      <w:rPr>
        <w:rFonts w:hint="default"/>
      </w:rPr>
    </w:lvl>
  </w:abstractNum>
  <w:abstractNum w:abstractNumId="4">
    <w:multiLevelType w:val="hybridMultilevel"/>
    <w:lvl w:ilvl="0" w:tentative="0">
      <w:start w:val="1"/>
      <w:numFmt w:val="lowerLetter"/>
      <w:lvlText w:val="%1)"/>
      <w:lvlJc w:val="left"/>
      <w:pPr>
        <w:tabs>
          <w:tab w:val="num" w:pos="1068"/>
        </w:tabs>
        <w:ind w:left="1068" w:hanging="360"/>
      </w:pPr>
      <w:rPr>
        <w:rFonts w:hint="default"/>
        <w:i w:val="off"/>
        <w:sz w:val="20"/>
        <w:szCs w:val="20"/>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5">
    <w:multiLevelType w:val="hybridMultilevel"/>
    <w:lvl w:ilvl="0" w:tentative="0">
      <w:start w:val="1"/>
      <w:numFmt w:val="lowerLetter"/>
      <w:lvlText w:val="%1)"/>
      <w:lvlJc w:val="left"/>
      <w:pPr>
        <w:ind w:left="1144" w:hanging="43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multiLevelType w:val="multilevel"/>
    <w:lvl w:ilvl="0" w:tentative="0">
      <w:start w:val="1"/>
      <w:numFmt w:val="decimal"/>
      <w:lvlText w:val="Madde (%1)"/>
      <w:lvlJc w:val="left"/>
      <w:pPr>
        <w:tabs>
          <w:tab w:val="num" w:pos="1249"/>
        </w:tabs>
        <w:ind w:left="1249" w:hanging="709"/>
      </w:pPr>
      <w:rPr>
        <w:rFonts w:hint="default"/>
        <w:b/>
        <w:i w:val="off"/>
      </w:rPr>
    </w:lvl>
    <w:lvl w:ilvl="1" w:tentative="0">
      <w:start w:val="1"/>
      <w:numFmt w:val="lowerLetter"/>
      <w:lvlText w:val="(%2)"/>
      <w:lvlJc w:val="left"/>
      <w:pPr>
        <w:tabs>
          <w:tab w:val="num" w:pos="1417"/>
        </w:tabs>
        <w:ind w:left="1417" w:hanging="708"/>
      </w:pPr>
      <w:rPr>
        <w:rFonts w:hint="default"/>
      </w:rPr>
    </w:lvl>
    <w:lvl w:ilvl="2" w:tentative="0">
      <w:start w:val="1"/>
      <w:numFmt w:val="bullet"/>
      <w:pStyle w:val="ListNumber(Level3)"/>
      <w:lvlText w:val="–"/>
      <w:lvlJc w:val="left"/>
      <w:pPr>
        <w:tabs>
          <w:tab w:val="num" w:pos="2126"/>
        </w:tabs>
        <w:ind w:left="2126" w:hanging="709"/>
      </w:pPr>
      <w:rPr>
        <w:rFonts w:ascii="Times New Roman" w:hAnsi="Times New Roman" w:hint="default"/>
      </w:rPr>
    </w:lvl>
    <w:lvl w:ilvl="3" w:tentative="0">
      <w:start w:val="1"/>
      <w:numFmt w:val="bullet"/>
      <w:lvlText w:val=""/>
      <w:lvlJc w:val="left"/>
      <w:pPr>
        <w:tabs>
          <w:tab w:val="num" w:pos="2835"/>
        </w:tabs>
        <w:ind w:left="2835" w:hanging="709"/>
      </w:pPr>
      <w:rPr>
        <w:rFonts w:ascii="Symbol" w:hAnsi="Symbol" w:hint="default"/>
      </w:rPr>
    </w:lvl>
    <w:lvl w:ilvl="4" w:tentative="0">
      <w:start w:val="1"/>
      <w:numFmt w:val="lowerLetter"/>
      <w:lvlText w:val="(%5)"/>
      <w:lvlJc w:val="left"/>
      <w:pPr>
        <w:tabs>
          <w:tab w:val="num" w:pos="1800"/>
        </w:tabs>
        <w:ind w:left="1800" w:hanging="360"/>
      </w:pPr>
      <w:rPr>
        <w:rFonts w:hint="default"/>
      </w:rPr>
    </w:lvl>
    <w:lvl w:ilvl="5" w:tentative="0">
      <w:start w:val="1"/>
      <w:numFmt w:val="lowerRoman"/>
      <w:lvlText w:val="(%6)"/>
      <w:lvlJc w:val="left"/>
      <w:pPr>
        <w:tabs>
          <w:tab w:val="num" w:pos="2160"/>
        </w:tabs>
        <w:ind w:left="2160" w:hanging="360"/>
      </w:pPr>
      <w:rPr>
        <w:rFonts w:hint="default"/>
      </w:rPr>
    </w:lvl>
    <w:lvl w:ilvl="6" w:tentative="0">
      <w:start w:val="1"/>
      <w:numFmt w:val="decimal"/>
      <w:lvlText w:val="%7."/>
      <w:lvlJc w:val="left"/>
      <w:pPr>
        <w:tabs>
          <w:tab w:val="num" w:pos="2520"/>
        </w:tabs>
        <w:ind w:left="2520" w:hanging="360"/>
      </w:pPr>
      <w:rPr>
        <w:rFonts w:hint="default"/>
      </w:rPr>
    </w:lvl>
    <w:lvl w:ilvl="7" w:tentative="0">
      <w:start w:val="1"/>
      <w:numFmt w:val="lowerLetter"/>
      <w:lvlText w:val="%8."/>
      <w:lvlJc w:val="left"/>
      <w:pPr>
        <w:tabs>
          <w:tab w:val="num" w:pos="2880"/>
        </w:tabs>
        <w:ind w:left="2880" w:hanging="360"/>
      </w:pPr>
      <w:rPr>
        <w:rFonts w:hint="default"/>
      </w:rPr>
    </w:lvl>
    <w:lvl w:ilvl="8" w:tentative="0">
      <w:start w:val="1"/>
      <w:numFmt w:val="lowerRoman"/>
      <w:lvlText w:val="%9."/>
      <w:lvlJc w:val="left"/>
      <w:pPr>
        <w:tabs>
          <w:tab w:val="num" w:pos="3240"/>
        </w:tabs>
        <w:ind w:left="3240" w:hanging="360"/>
      </w:pPr>
      <w:rPr>
        <w:rFonts w:hint="default"/>
      </w:rPr>
    </w:lvl>
  </w:abstractNum>
  <w:abstractNum w:abstractNumId="7">
    <w:multiLevelType w:val="hybridMultilevel"/>
    <w:lvl w:ilvl="0" w:tentative="0">
      <w:start w:val="1"/>
      <w:numFmt w:val="lowerRoman"/>
      <w:lvlText w:val="%1."/>
      <w:lvlJc w:val="right"/>
      <w:pPr>
        <w:ind w:left="1800" w:hanging="360"/>
      </w:p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8">
    <w:multiLevelType w:val="multilevel"/>
    <w:lvl w:ilvl="0" w:tentative="0">
      <w:start w:val="1"/>
      <w:numFmt w:val="decimal"/>
      <w:lvlText w:val="Madde (%1)"/>
      <w:lvlJc w:val="left"/>
      <w:pPr>
        <w:tabs>
          <w:tab w:val="num" w:pos="1249"/>
        </w:tabs>
        <w:ind w:left="1249" w:hanging="709"/>
      </w:pPr>
      <w:rPr>
        <w:rFonts w:hint="default"/>
        <w:b/>
        <w:i w:val="off"/>
      </w:rPr>
    </w:lvl>
    <w:lvl w:ilvl="1" w:tentative="0">
      <w:start w:val="1"/>
      <w:numFmt w:val="lowerLetter"/>
      <w:lvlText w:val="(%2)"/>
      <w:lvlJc w:val="left"/>
      <w:pPr>
        <w:tabs>
          <w:tab w:val="num" w:pos="1417"/>
        </w:tabs>
        <w:ind w:left="1417" w:hanging="708"/>
      </w:pPr>
      <w:rPr>
        <w:rFonts w:hint="default"/>
      </w:rPr>
    </w:lvl>
    <w:lvl w:ilvl="2" w:tentative="0">
      <w:start w:val="1"/>
      <w:numFmt w:val="bullet"/>
      <w:lvlText w:val="–"/>
      <w:lvlJc w:val="left"/>
      <w:pPr>
        <w:tabs>
          <w:tab w:val="num" w:pos="2126"/>
        </w:tabs>
        <w:ind w:left="2126" w:hanging="709"/>
      </w:pPr>
      <w:rPr>
        <w:rFonts w:ascii="Times New Roman" w:hAnsi="Times New Roman" w:hint="default"/>
      </w:rPr>
    </w:lvl>
    <w:lvl w:ilvl="3" w:tentative="0">
      <w:start w:val="1"/>
      <w:numFmt w:val="bullet"/>
      <w:pStyle w:val="ListNumber(Level4)"/>
      <w:lvlText w:val=""/>
      <w:lvlJc w:val="left"/>
      <w:pPr>
        <w:tabs>
          <w:tab w:val="num" w:pos="2835"/>
        </w:tabs>
        <w:ind w:left="2835" w:hanging="709"/>
      </w:pPr>
      <w:rPr>
        <w:rFonts w:ascii="Symbol" w:hAnsi="Symbol" w:hint="default"/>
      </w:rPr>
    </w:lvl>
    <w:lvl w:ilvl="4" w:tentative="0">
      <w:start w:val="1"/>
      <w:numFmt w:val="lowerLetter"/>
      <w:lvlText w:val="(%5)"/>
      <w:lvlJc w:val="left"/>
      <w:pPr>
        <w:tabs>
          <w:tab w:val="num" w:pos="1800"/>
        </w:tabs>
        <w:ind w:left="1800" w:hanging="360"/>
      </w:pPr>
      <w:rPr>
        <w:rFonts w:hint="default"/>
      </w:rPr>
    </w:lvl>
    <w:lvl w:ilvl="5" w:tentative="0">
      <w:start w:val="1"/>
      <w:numFmt w:val="lowerRoman"/>
      <w:lvlText w:val="(%6)"/>
      <w:lvlJc w:val="left"/>
      <w:pPr>
        <w:tabs>
          <w:tab w:val="num" w:pos="2160"/>
        </w:tabs>
        <w:ind w:left="2160" w:hanging="360"/>
      </w:pPr>
      <w:rPr>
        <w:rFonts w:hint="default"/>
      </w:rPr>
    </w:lvl>
    <w:lvl w:ilvl="6" w:tentative="0">
      <w:start w:val="1"/>
      <w:numFmt w:val="decimal"/>
      <w:lvlText w:val="%7."/>
      <w:lvlJc w:val="left"/>
      <w:pPr>
        <w:tabs>
          <w:tab w:val="num" w:pos="2520"/>
        </w:tabs>
        <w:ind w:left="2520" w:hanging="360"/>
      </w:pPr>
      <w:rPr>
        <w:rFonts w:hint="default"/>
      </w:rPr>
    </w:lvl>
    <w:lvl w:ilvl="7" w:tentative="0">
      <w:start w:val="1"/>
      <w:numFmt w:val="lowerLetter"/>
      <w:lvlText w:val="%8."/>
      <w:lvlJc w:val="left"/>
      <w:pPr>
        <w:tabs>
          <w:tab w:val="num" w:pos="2880"/>
        </w:tabs>
        <w:ind w:left="2880" w:hanging="360"/>
      </w:pPr>
      <w:rPr>
        <w:rFonts w:hint="default"/>
      </w:rPr>
    </w:lvl>
    <w:lvl w:ilvl="8" w:tentative="0">
      <w:start w:val="1"/>
      <w:numFmt w:val="lowerRoman"/>
      <w:lvlText w:val="%9."/>
      <w:lvlJc w:val="left"/>
      <w:pPr>
        <w:tabs>
          <w:tab w:val="num" w:pos="3240"/>
        </w:tabs>
        <w:ind w:left="3240" w:hanging="360"/>
      </w:pPr>
      <w:rPr>
        <w:rFonts w:hint="default"/>
      </w:rPr>
    </w:lvl>
  </w:abstractNum>
  <w:abstractNum w:abstractNumId="9">
    <w:multiLevelType w:val="multilevel"/>
    <w:lvl w:ilvl="0" w:tentative="1">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left"/>
      <w:pPr>
        <w:ind w:left="2160" w:hanging="36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left"/>
      <w:pPr>
        <w:ind w:left="4320" w:hanging="36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left"/>
      <w:pPr>
        <w:ind w:left="6480" w:hanging="360"/>
      </w:pPr>
    </w:lvl>
  </w:abstractNum>
  <w:abstractNum w:abstractNumId="10">
    <w:multiLevelType w:val="hybridMultilevel"/>
    <w:lvl w:ilvl="0" w:tentative="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multiLevelType w:val="multilevel"/>
    <w:lvl w:ilvl="0" w:tentative="0">
      <w:start w:val="1"/>
      <w:numFmt w:val="decimal"/>
      <w:pStyle w:val="ListNumber"/>
      <w:lvlText w:val="Madde (%1)"/>
      <w:lvlJc w:val="left"/>
      <w:pPr>
        <w:tabs>
          <w:tab w:val="num" w:pos="1249"/>
        </w:tabs>
        <w:ind w:left="1249" w:hanging="709"/>
      </w:pPr>
      <w:rPr>
        <w:rFonts w:hint="default"/>
        <w:b/>
        <w:i w:val="off"/>
      </w:rPr>
    </w:lvl>
    <w:lvl w:ilvl="1" w:tentative="0">
      <w:start w:val="1"/>
      <w:numFmt w:val="lowerLetter"/>
      <w:lvlText w:val="(%2)"/>
      <w:lvlJc w:val="left"/>
      <w:pPr>
        <w:tabs>
          <w:tab w:val="num" w:pos="1417"/>
        </w:tabs>
        <w:ind w:left="1417" w:hanging="708"/>
      </w:pPr>
      <w:rPr>
        <w:rFonts w:hint="default"/>
      </w:rPr>
    </w:lvl>
    <w:lvl w:ilvl="2" w:tentative="0">
      <w:start w:val="1"/>
      <w:numFmt w:val="bullet"/>
      <w:lvlText w:val="–"/>
      <w:lvlJc w:val="left"/>
      <w:pPr>
        <w:tabs>
          <w:tab w:val="num" w:pos="2126"/>
        </w:tabs>
        <w:ind w:left="2126" w:hanging="709"/>
      </w:pPr>
      <w:rPr>
        <w:rFonts w:ascii="Times New Roman" w:hAnsi="Times New Roman" w:hint="default"/>
      </w:rPr>
    </w:lvl>
    <w:lvl w:ilvl="3" w:tentative="0">
      <w:start w:val="1"/>
      <w:numFmt w:val="bullet"/>
      <w:lvlText w:val=""/>
      <w:lvlJc w:val="left"/>
      <w:pPr>
        <w:tabs>
          <w:tab w:val="num" w:pos="2835"/>
        </w:tabs>
        <w:ind w:left="2835" w:hanging="709"/>
      </w:pPr>
      <w:rPr>
        <w:rFonts w:ascii="Symbol" w:hAnsi="Symbol" w:hint="default"/>
      </w:rPr>
    </w:lvl>
    <w:lvl w:ilvl="4" w:tentative="0">
      <w:start w:val="1"/>
      <w:numFmt w:val="lowerLetter"/>
      <w:lvlText w:val="(%5)"/>
      <w:lvlJc w:val="left"/>
      <w:pPr>
        <w:tabs>
          <w:tab w:val="num" w:pos="1800"/>
        </w:tabs>
        <w:ind w:left="1800" w:hanging="360"/>
      </w:pPr>
      <w:rPr>
        <w:rFonts w:hint="default"/>
      </w:rPr>
    </w:lvl>
    <w:lvl w:ilvl="5" w:tentative="0">
      <w:start w:val="1"/>
      <w:numFmt w:val="lowerRoman"/>
      <w:lvlText w:val="(%6)"/>
      <w:lvlJc w:val="left"/>
      <w:pPr>
        <w:tabs>
          <w:tab w:val="num" w:pos="2160"/>
        </w:tabs>
        <w:ind w:left="2160" w:hanging="360"/>
      </w:pPr>
      <w:rPr>
        <w:rFonts w:hint="default"/>
      </w:rPr>
    </w:lvl>
    <w:lvl w:ilvl="6" w:tentative="0">
      <w:start w:val="1"/>
      <w:numFmt w:val="decimal"/>
      <w:lvlText w:val="%7."/>
      <w:lvlJc w:val="left"/>
      <w:pPr>
        <w:tabs>
          <w:tab w:val="num" w:pos="2520"/>
        </w:tabs>
        <w:ind w:left="2520" w:hanging="360"/>
      </w:pPr>
      <w:rPr>
        <w:rFonts w:hint="default"/>
      </w:rPr>
    </w:lvl>
    <w:lvl w:ilvl="7" w:tentative="0">
      <w:start w:val="1"/>
      <w:numFmt w:val="lowerLetter"/>
      <w:lvlText w:val="%8."/>
      <w:lvlJc w:val="left"/>
      <w:pPr>
        <w:tabs>
          <w:tab w:val="num" w:pos="2880"/>
        </w:tabs>
        <w:ind w:left="2880" w:hanging="360"/>
      </w:pPr>
      <w:rPr>
        <w:rFonts w:hint="default"/>
      </w:rPr>
    </w:lvl>
    <w:lvl w:ilvl="8" w:tentative="0">
      <w:start w:val="1"/>
      <w:numFmt w:val="lowerRoman"/>
      <w:lvlText w:val="%9."/>
      <w:lvlJc w:val="left"/>
      <w:pPr>
        <w:tabs>
          <w:tab w:val="num" w:pos="3240"/>
        </w:tabs>
        <w:ind w:left="3240" w:hanging="360"/>
      </w:pPr>
      <w:rPr>
        <w:rFonts w:hint="default"/>
      </w:rPr>
    </w:lvl>
  </w:abstractNum>
  <w:abstractNum w:abstractNumId="12">
    <w:multiLevelType w:val="hybridMultilevel"/>
    <w:lvl w:ilvl="0" w:tentative="0">
      <w:start w:val="1"/>
      <w:numFmt w:val="lowerLetter"/>
      <w:lvlText w:val="%1)"/>
      <w:lvlJc w:val="left"/>
      <w:pPr>
        <w:ind w:left="707" w:hanging="480"/>
      </w:pPr>
      <w:rPr>
        <w:rFonts w:hint="default"/>
      </w:rPr>
    </w:lvl>
    <w:lvl w:ilvl="1" w:tentative="1">
      <w:start w:val="1"/>
      <w:numFmt w:val="lowerLetter"/>
      <w:lvlText w:val="%2."/>
      <w:lvlJc w:val="left"/>
      <w:pPr>
        <w:ind w:left="1307" w:hanging="360"/>
      </w:pPr>
    </w:lvl>
    <w:lvl w:ilvl="2" w:tentative="1">
      <w:start w:val="1"/>
      <w:numFmt w:val="lowerRoman"/>
      <w:lvlText w:val="%3."/>
      <w:lvlJc w:val="right"/>
      <w:pPr>
        <w:ind w:left="2027" w:hanging="180"/>
      </w:pPr>
    </w:lvl>
    <w:lvl w:ilvl="3" w:tentative="1">
      <w:start w:val="1"/>
      <w:numFmt w:val="decimal"/>
      <w:lvlText w:val="%4."/>
      <w:lvlJc w:val="left"/>
      <w:pPr>
        <w:ind w:left="2747" w:hanging="360"/>
      </w:pPr>
    </w:lvl>
    <w:lvl w:ilvl="4" w:tentative="1">
      <w:start w:val="1"/>
      <w:numFmt w:val="lowerLetter"/>
      <w:lvlText w:val="%5."/>
      <w:lvlJc w:val="left"/>
      <w:pPr>
        <w:ind w:left="3467" w:hanging="360"/>
      </w:pPr>
    </w:lvl>
    <w:lvl w:ilvl="5" w:tentative="1">
      <w:start w:val="1"/>
      <w:numFmt w:val="lowerRoman"/>
      <w:lvlText w:val="%6."/>
      <w:lvlJc w:val="right"/>
      <w:pPr>
        <w:ind w:left="4187" w:hanging="180"/>
      </w:pPr>
    </w:lvl>
    <w:lvl w:ilvl="6" w:tentative="1">
      <w:start w:val="1"/>
      <w:numFmt w:val="decimal"/>
      <w:lvlText w:val="%7."/>
      <w:lvlJc w:val="left"/>
      <w:pPr>
        <w:ind w:left="4907" w:hanging="360"/>
      </w:pPr>
    </w:lvl>
    <w:lvl w:ilvl="7" w:tentative="1">
      <w:start w:val="1"/>
      <w:numFmt w:val="lowerLetter"/>
      <w:lvlText w:val="%8."/>
      <w:lvlJc w:val="left"/>
      <w:pPr>
        <w:ind w:left="5627" w:hanging="360"/>
      </w:pPr>
    </w:lvl>
    <w:lvl w:ilvl="8" w:tentative="1">
      <w:start w:val="1"/>
      <w:numFmt w:val="lowerRoman"/>
      <w:lvlText w:val="%9."/>
      <w:lvlJc w:val="right"/>
      <w:pPr>
        <w:ind w:left="6347" w:hanging="180"/>
      </w:pPr>
    </w:lvl>
  </w:abstractNum>
  <w:abstractNum w:abstractNumId="13">
    <w:multiLevelType w:val="hybridMultilevel"/>
    <w:lvl w:ilvl="0" w:tentative="0">
      <w:start w:val="1"/>
      <w:numFmt w:val="lowerLetter"/>
      <w:lvlText w:val="%1)"/>
      <w:lvlJc w:val="left"/>
      <w:pPr>
        <w:ind w:left="707" w:hanging="480"/>
      </w:pPr>
      <w:rPr>
        <w:rFonts w:hint="default"/>
      </w:rPr>
    </w:lvl>
    <w:lvl w:ilvl="1" w:tentative="1">
      <w:start w:val="1"/>
      <w:numFmt w:val="lowerLetter"/>
      <w:lvlText w:val="%2."/>
      <w:lvlJc w:val="left"/>
      <w:pPr>
        <w:ind w:left="1307" w:hanging="360"/>
      </w:pPr>
    </w:lvl>
    <w:lvl w:ilvl="2" w:tentative="1">
      <w:start w:val="1"/>
      <w:numFmt w:val="lowerRoman"/>
      <w:lvlText w:val="%3."/>
      <w:lvlJc w:val="right"/>
      <w:pPr>
        <w:ind w:left="2027" w:hanging="180"/>
      </w:pPr>
    </w:lvl>
    <w:lvl w:ilvl="3" w:tentative="1">
      <w:start w:val="1"/>
      <w:numFmt w:val="decimal"/>
      <w:lvlText w:val="%4."/>
      <w:lvlJc w:val="left"/>
      <w:pPr>
        <w:ind w:left="2747" w:hanging="360"/>
      </w:pPr>
    </w:lvl>
    <w:lvl w:ilvl="4" w:tentative="1">
      <w:start w:val="1"/>
      <w:numFmt w:val="lowerLetter"/>
      <w:lvlText w:val="%5."/>
      <w:lvlJc w:val="left"/>
      <w:pPr>
        <w:ind w:left="3467" w:hanging="360"/>
      </w:pPr>
    </w:lvl>
    <w:lvl w:ilvl="5" w:tentative="1">
      <w:start w:val="1"/>
      <w:numFmt w:val="lowerRoman"/>
      <w:lvlText w:val="%6."/>
      <w:lvlJc w:val="right"/>
      <w:pPr>
        <w:ind w:left="4187" w:hanging="180"/>
      </w:pPr>
    </w:lvl>
    <w:lvl w:ilvl="6" w:tentative="1">
      <w:start w:val="1"/>
      <w:numFmt w:val="decimal"/>
      <w:lvlText w:val="%7."/>
      <w:lvlJc w:val="left"/>
      <w:pPr>
        <w:ind w:left="4907" w:hanging="360"/>
      </w:pPr>
    </w:lvl>
    <w:lvl w:ilvl="7" w:tentative="1">
      <w:start w:val="1"/>
      <w:numFmt w:val="lowerLetter"/>
      <w:lvlText w:val="%8."/>
      <w:lvlJc w:val="left"/>
      <w:pPr>
        <w:ind w:left="5627" w:hanging="360"/>
      </w:pPr>
    </w:lvl>
    <w:lvl w:ilvl="8" w:tentative="1">
      <w:start w:val="1"/>
      <w:numFmt w:val="lowerRoman"/>
      <w:lvlText w:val="%9."/>
      <w:lvlJc w:val="right"/>
      <w:pPr>
        <w:ind w:left="6347" w:hanging="180"/>
      </w:pPr>
    </w:lvl>
  </w:abstractNum>
  <w:abstractNum w:abstractNumId="14">
    <w:multiLevelType w:val="multilevel"/>
    <w:lvl w:ilvl="0" w:tentative="0">
      <w:start w:val="1"/>
      <w:numFmt w:val="decimal"/>
      <w:lvlText w:val="Madde (%1)"/>
      <w:lvlJc w:val="left"/>
      <w:pPr>
        <w:tabs>
          <w:tab w:val="num" w:pos="1249"/>
        </w:tabs>
        <w:ind w:left="1249" w:hanging="709"/>
      </w:pPr>
      <w:rPr>
        <w:rFonts w:hint="default"/>
        <w:b/>
        <w:i w:val="off"/>
      </w:rPr>
    </w:lvl>
    <w:lvl w:ilvl="1" w:tentative="0">
      <w:start w:val="1"/>
      <w:numFmt w:val="lowerLetter"/>
      <w:pStyle w:val="ListNumber(Level2)"/>
      <w:lvlText w:val="(%2)"/>
      <w:lvlJc w:val="left"/>
      <w:pPr>
        <w:tabs>
          <w:tab w:val="num" w:pos="1417"/>
        </w:tabs>
        <w:ind w:left="1417" w:hanging="708"/>
      </w:pPr>
      <w:rPr>
        <w:rFonts w:hint="default"/>
      </w:rPr>
    </w:lvl>
    <w:lvl w:ilvl="2" w:tentative="0">
      <w:start w:val="1"/>
      <w:numFmt w:val="bullet"/>
      <w:lvlText w:val="–"/>
      <w:lvlJc w:val="left"/>
      <w:pPr>
        <w:tabs>
          <w:tab w:val="num" w:pos="2126"/>
        </w:tabs>
        <w:ind w:left="2126" w:hanging="709"/>
      </w:pPr>
      <w:rPr>
        <w:rFonts w:ascii="Times New Roman" w:hAnsi="Times New Roman" w:hint="default"/>
      </w:rPr>
    </w:lvl>
    <w:lvl w:ilvl="3" w:tentative="0">
      <w:start w:val="1"/>
      <w:numFmt w:val="bullet"/>
      <w:lvlText w:val=""/>
      <w:lvlJc w:val="left"/>
      <w:pPr>
        <w:tabs>
          <w:tab w:val="num" w:pos="2835"/>
        </w:tabs>
        <w:ind w:left="2835" w:hanging="709"/>
      </w:pPr>
      <w:rPr>
        <w:rFonts w:ascii="Symbol" w:hAnsi="Symbol" w:hint="default"/>
      </w:rPr>
    </w:lvl>
    <w:lvl w:ilvl="4" w:tentative="0">
      <w:start w:val="1"/>
      <w:numFmt w:val="lowerLetter"/>
      <w:lvlText w:val="(%5)"/>
      <w:lvlJc w:val="left"/>
      <w:pPr>
        <w:tabs>
          <w:tab w:val="num" w:pos="1800"/>
        </w:tabs>
        <w:ind w:left="1800" w:hanging="360"/>
      </w:pPr>
      <w:rPr>
        <w:rFonts w:hint="default"/>
      </w:rPr>
    </w:lvl>
    <w:lvl w:ilvl="5" w:tentative="0">
      <w:start w:val="1"/>
      <w:numFmt w:val="lowerRoman"/>
      <w:lvlText w:val="(%6)"/>
      <w:lvlJc w:val="left"/>
      <w:pPr>
        <w:tabs>
          <w:tab w:val="num" w:pos="2160"/>
        </w:tabs>
        <w:ind w:left="2160" w:hanging="360"/>
      </w:pPr>
      <w:rPr>
        <w:rFonts w:hint="default"/>
      </w:rPr>
    </w:lvl>
    <w:lvl w:ilvl="6" w:tentative="0">
      <w:start w:val="1"/>
      <w:numFmt w:val="decimal"/>
      <w:lvlText w:val="%7."/>
      <w:lvlJc w:val="left"/>
      <w:pPr>
        <w:tabs>
          <w:tab w:val="num" w:pos="2520"/>
        </w:tabs>
        <w:ind w:left="2520" w:hanging="360"/>
      </w:pPr>
      <w:rPr>
        <w:rFonts w:hint="default"/>
      </w:rPr>
    </w:lvl>
    <w:lvl w:ilvl="7" w:tentative="0">
      <w:start w:val="1"/>
      <w:numFmt w:val="lowerLetter"/>
      <w:lvlText w:val="%8."/>
      <w:lvlJc w:val="left"/>
      <w:pPr>
        <w:tabs>
          <w:tab w:val="num" w:pos="2880"/>
        </w:tabs>
        <w:ind w:left="2880" w:hanging="360"/>
      </w:pPr>
      <w:rPr>
        <w:rFonts w:hint="default"/>
      </w:rPr>
    </w:lvl>
    <w:lvl w:ilvl="8" w:tentative="0">
      <w:start w:val="1"/>
      <w:numFmt w:val="lowerRoman"/>
      <w:lvlText w:val="%9."/>
      <w:lvlJc w:val="left"/>
      <w:pPr>
        <w:tabs>
          <w:tab w:val="num" w:pos="3240"/>
        </w:tabs>
        <w:ind w:left="3240" w:hanging="360"/>
      </w:pPr>
      <w:rPr>
        <w:rFonts w:hint="default"/>
      </w:rPr>
    </w:lvl>
  </w:abstractNum>
  <w:abstractNum w:abstractNumId="15">
    <w:multiLevelType w:val="multilevel"/>
    <w:lvl w:ilvl="0" w:tentative="0">
      <w:start w:val="9"/>
      <w:numFmt w:val="decimal"/>
      <w:lvlText w:val="%1"/>
      <w:lvlJc w:val="left"/>
      <w:pPr>
        <w:tabs>
          <w:tab w:val="num" w:pos="570"/>
        </w:tabs>
        <w:ind w:left="570" w:hanging="570"/>
      </w:pPr>
      <w:rPr>
        <w:rFonts w:hint="default"/>
      </w:rPr>
    </w:lvl>
    <w:lvl w:ilvl="1" w:tentative="0">
      <w:start w:val="1"/>
      <w:numFmt w:val="decimal"/>
      <w:lvlText w:val="8.%2"/>
      <w:lvlJc w:val="left"/>
      <w:pPr>
        <w:tabs>
          <w:tab w:val="num" w:pos="570"/>
        </w:tabs>
        <w:ind w:left="570" w:hanging="570"/>
      </w:pPr>
      <w:rPr>
        <w:rFonts w:hint="default"/>
      </w:rPr>
    </w:lvl>
    <w:lvl w:ilvl="2" w:tentative="0">
      <w:start w:val="1"/>
      <w:numFmt w:val="decimal"/>
      <w:lvlText w:val="%1.%2.%3"/>
      <w:lvlJc w:val="left"/>
      <w:pPr>
        <w:tabs>
          <w:tab w:val="num" w:pos="720"/>
        </w:tabs>
        <w:ind w:left="720" w:hanging="720"/>
      </w:pPr>
      <w:rPr>
        <w:rFonts w:hint="default"/>
      </w:rPr>
    </w:lvl>
    <w:lvl w:ilvl="3" w:tentative="0">
      <w:start w:val="1"/>
      <w:numFmt w:val="decimal"/>
      <w:lvlText w:val="%1.%2.%3.%4"/>
      <w:lvlJc w:val="left"/>
      <w:pPr>
        <w:tabs>
          <w:tab w:val="num" w:pos="720"/>
        </w:tabs>
        <w:ind w:left="720" w:hanging="720"/>
      </w:pPr>
      <w:rPr>
        <w:rFonts w:hint="default"/>
      </w:rPr>
    </w:lvl>
    <w:lvl w:ilvl="4" w:tentative="0">
      <w:start w:val="1"/>
      <w:numFmt w:val="decimal"/>
      <w:lvlText w:val="%1.%2.%3.%4.%5"/>
      <w:lvlJc w:val="left"/>
      <w:pPr>
        <w:tabs>
          <w:tab w:val="num" w:pos="1080"/>
        </w:tabs>
        <w:ind w:left="1080" w:hanging="1080"/>
      </w:pPr>
      <w:rPr>
        <w:rFonts w:hint="default"/>
      </w:rPr>
    </w:lvl>
    <w:lvl w:ilvl="5" w:tentative="0">
      <w:start w:val="1"/>
      <w:numFmt w:val="decimal"/>
      <w:lvlText w:val="%1.%2.%3.%4.%5.%6"/>
      <w:lvlJc w:val="left"/>
      <w:pPr>
        <w:tabs>
          <w:tab w:val="num" w:pos="1080"/>
        </w:tabs>
        <w:ind w:left="1080" w:hanging="1080"/>
      </w:pPr>
      <w:rPr>
        <w:rFonts w:hint="default"/>
      </w:rPr>
    </w:lvl>
    <w:lvl w:ilvl="6" w:tentative="0">
      <w:start w:val="1"/>
      <w:numFmt w:val="decimal"/>
      <w:lvlText w:val="%1.%2.%3.%4.%5.%6.%7"/>
      <w:lvlJc w:val="left"/>
      <w:pPr>
        <w:tabs>
          <w:tab w:val="num" w:pos="1440"/>
        </w:tabs>
        <w:ind w:left="1440" w:hanging="1440"/>
      </w:pPr>
      <w:rPr>
        <w:rFonts w:hint="default"/>
      </w:rPr>
    </w:lvl>
    <w:lvl w:ilvl="7" w:tentative="0">
      <w:start w:val="1"/>
      <w:numFmt w:val="decimal"/>
      <w:lvlText w:val="%1.%2.%3.%4.%5.%6.%7.%8"/>
      <w:lvlJc w:val="left"/>
      <w:pPr>
        <w:tabs>
          <w:tab w:val="num" w:pos="1440"/>
        </w:tabs>
        <w:ind w:left="1440" w:hanging="1440"/>
      </w:pPr>
      <w:rPr>
        <w:rFonts w:hint="default"/>
      </w:rPr>
    </w:lvl>
    <w:lvl w:ilvl="8" w:tentative="0">
      <w:start w:val="1"/>
      <w:numFmt w:val="decimal"/>
      <w:lvlText w:val="%1.%2.%3.%4.%5.%6.%7.%8.%9"/>
      <w:lvlJc w:val="left"/>
      <w:pPr>
        <w:tabs>
          <w:tab w:val="num" w:pos="1440"/>
        </w:tabs>
        <w:ind w:left="1440" w:hanging="1440"/>
      </w:pPr>
      <w:rPr>
        <w:rFonts w:hint="default"/>
      </w:rPr>
    </w:lvl>
  </w:abstractNum>
  <w:abstractNum w:abstractNumId="16">
    <w:multiLevelType w:val="multilevel"/>
    <w:lvl w:ilvl="0" w:tentative="1">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left"/>
      <w:pPr>
        <w:ind w:left="2160" w:hanging="36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left"/>
      <w:pPr>
        <w:ind w:left="4320" w:hanging="36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left"/>
      <w:pPr>
        <w:ind w:left="6480" w:hanging="360"/>
      </w:pPr>
    </w:lvl>
  </w:abstractNum>
  <w:abstractNum w:abstractNumId="17">
    <w:multiLevelType w:val="multilevel"/>
    <w:lvl w:ilvl="0" w:tentative="0">
      <w:start w:val="7"/>
      <w:numFmt w:val="decimal"/>
      <w:lvlText w:val="%1"/>
      <w:lvlJc w:val="left"/>
      <w:pPr>
        <w:tabs>
          <w:tab w:val="num" w:pos="360"/>
        </w:tabs>
        <w:ind w:left="360" w:hanging="360"/>
      </w:pPr>
      <w:rPr>
        <w:rFonts w:hint="default"/>
      </w:rPr>
    </w:lvl>
    <w:lvl w:ilvl="1" w:tentative="0">
      <w:start w:val="1"/>
      <w:numFmt w:val="decimal"/>
      <w:lvlText w:val="%1.%2"/>
      <w:lvlJc w:val="left"/>
      <w:pPr>
        <w:tabs>
          <w:tab w:val="num" w:pos="360"/>
        </w:tabs>
        <w:ind w:left="360" w:hanging="360"/>
      </w:pPr>
      <w:rPr>
        <w:rFonts w:hint="default"/>
      </w:rPr>
    </w:lvl>
    <w:lvl w:ilvl="2" w:tentative="0">
      <w:start w:val="1"/>
      <w:numFmt w:val="decimal"/>
      <w:lvlText w:val="%1.%2.%3"/>
      <w:lvlJc w:val="left"/>
      <w:pPr>
        <w:tabs>
          <w:tab w:val="num" w:pos="720"/>
        </w:tabs>
        <w:ind w:left="720" w:hanging="720"/>
      </w:pPr>
      <w:rPr>
        <w:rFonts w:hint="default"/>
      </w:rPr>
    </w:lvl>
    <w:lvl w:ilvl="3" w:tentative="0">
      <w:start w:val="1"/>
      <w:numFmt w:val="decimal"/>
      <w:lvlText w:val="%1.%2.%3.%4"/>
      <w:lvlJc w:val="left"/>
      <w:pPr>
        <w:tabs>
          <w:tab w:val="num" w:pos="720"/>
        </w:tabs>
        <w:ind w:left="720" w:hanging="720"/>
      </w:pPr>
      <w:rPr>
        <w:rFonts w:hint="default"/>
      </w:rPr>
    </w:lvl>
    <w:lvl w:ilvl="4" w:tentative="0">
      <w:start w:val="1"/>
      <w:numFmt w:val="decimal"/>
      <w:lvlText w:val="%1.%2.%3.%4.%5"/>
      <w:lvlJc w:val="left"/>
      <w:pPr>
        <w:tabs>
          <w:tab w:val="num" w:pos="720"/>
        </w:tabs>
        <w:ind w:left="720" w:hanging="720"/>
      </w:pPr>
      <w:rPr>
        <w:rFonts w:hint="default"/>
      </w:rPr>
    </w:lvl>
    <w:lvl w:ilvl="5" w:tentative="0">
      <w:start w:val="1"/>
      <w:numFmt w:val="decimal"/>
      <w:lvlText w:val="%1.%2.%3.%4.%5.%6"/>
      <w:lvlJc w:val="left"/>
      <w:pPr>
        <w:tabs>
          <w:tab w:val="num" w:pos="1080"/>
        </w:tabs>
        <w:ind w:left="1080" w:hanging="1080"/>
      </w:pPr>
      <w:rPr>
        <w:rFonts w:hint="default"/>
      </w:rPr>
    </w:lvl>
    <w:lvl w:ilvl="6" w:tentative="0">
      <w:start w:val="1"/>
      <w:numFmt w:val="decimal"/>
      <w:lvlText w:val="%1.%2.%3.%4.%5.%6.%7"/>
      <w:lvlJc w:val="left"/>
      <w:pPr>
        <w:tabs>
          <w:tab w:val="num" w:pos="1080"/>
        </w:tabs>
        <w:ind w:left="1080" w:hanging="1080"/>
      </w:pPr>
      <w:rPr>
        <w:rFonts w:hint="default"/>
      </w:rPr>
    </w:lvl>
    <w:lvl w:ilvl="7" w:tentative="0">
      <w:start w:val="1"/>
      <w:numFmt w:val="decimal"/>
      <w:lvlText w:val="%1.%2.%3.%4.%5.%6.%7.%8"/>
      <w:lvlJc w:val="left"/>
      <w:pPr>
        <w:tabs>
          <w:tab w:val="num" w:pos="1440"/>
        </w:tabs>
        <w:ind w:left="1440" w:hanging="1440"/>
      </w:pPr>
      <w:rPr>
        <w:rFonts w:hint="default"/>
      </w:rPr>
    </w:lvl>
    <w:lvl w:ilvl="8" w:tentative="0">
      <w:start w:val="1"/>
      <w:numFmt w:val="decimal"/>
      <w:lvlText w:val="%1.%2.%3.%4.%5.%6.%7.%8.%9"/>
      <w:lvlJc w:val="left"/>
      <w:pPr>
        <w:tabs>
          <w:tab w:val="num" w:pos="1440"/>
        </w:tabs>
        <w:ind w:left="1440" w:hanging="1440"/>
      </w:pPr>
      <w:rPr>
        <w:rFonts w:hint="default"/>
      </w:rPr>
    </w:lvl>
  </w:abstractNum>
  <w:abstractNum w:abstractNumId="18">
    <w:multiLevelType w:val="hybridMultilevel"/>
    <w:lvl w:ilvl="0" w:tentative="0">
      <w:start w:val="1"/>
      <w:numFmt w:val="lowerLetter"/>
      <w:lvlText w:val="%1)"/>
      <w:lvlJc w:val="left"/>
      <w:pPr>
        <w:ind w:left="1146" w:hanging="360"/>
      </w:pPr>
    </w:lvl>
    <w:lvl w:ilvl="1" w:tentative="0">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19">
    <w:multiLevelType w:val="hybridMultilevel"/>
    <w:lvl w:ilvl="0" w:tentative="0">
      <w:start w:val="1"/>
      <w:numFmt w:val="lowerLetter"/>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0">
    <w:multiLevelType w:val="hybridMultilevel"/>
    <w:lvl w:ilvl="0" w:tentative="0">
      <w:start w:val="1"/>
      <w:numFmt w:val="bullet"/>
      <w:lvlText w:val=""/>
      <w:lvlJc w:val="left"/>
      <w:pPr>
        <w:ind w:left="720" w:hanging="360"/>
      </w:pPr>
      <w:rPr>
        <w:rFonts w:ascii="Symbol" w:hAnsi="Symbol" w:hint="default"/>
      </w:rPr>
    </w:lvl>
    <w:lvl w:ilvl="1" w:tentative="0">
      <w:start w:val="1"/>
      <w:numFmt w:val="lowerLetter"/>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4"/>
  </w:num>
  <w:num w:numId="4">
    <w:abstractNumId w:val="11"/>
  </w:num>
  <w:num w:numId="5">
    <w:abstractNumId w:val="17"/>
  </w:num>
  <w:num w:numId="6">
    <w:abstractNumId w:val="15"/>
  </w:num>
  <w:num w:numId="7">
    <w:abstractNumId w:val="3"/>
  </w:num>
  <w:num w:numId="8">
    <w:abstractNumId w:val="1"/>
  </w:num>
  <w:num w:numId="9">
    <w:abstractNumId w:val="4"/>
  </w:num>
  <w:num w:numId="10">
    <w:abstractNumId w:val="0"/>
  </w:num>
  <w:num w:numId="11">
    <w:abstractNumId w:val="2"/>
  </w:num>
  <w:num w:numId="12">
    <w:abstractNumId w:val="19"/>
  </w:num>
  <w:num w:numId="13">
    <w:abstractNumId w:val="5"/>
  </w:num>
  <w:num w:numId="14">
    <w:abstractNumId w:val="12"/>
  </w:num>
  <w:num w:numId="15">
    <w:abstractNumId w:val="13"/>
  </w:num>
  <w:num w:numId="16">
    <w:abstractNumId w:val="10"/>
  </w:num>
  <w:num w:numId="17">
    <w:abstractNumId w:val="18"/>
  </w:num>
  <w:num w:numId="18">
    <w:abstractNumId w:val="2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nus EFE">
    <w15:presenceInfo w15:providerId="None" w15:userId="Yunus 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5B0"/>
    <w:rsid w:val="00103876"/>
    <w:rsid w:val="002245B0"/>
    <w:rsid w:val="002B7A87"/>
    <w:rsid w:val="00500D6D"/>
    <w:rsid w:val="006B2EB2"/>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2ED3F"/>
  <w15:docId w15:val="{F9C9D332-6D5A-49F2-8C87-4929A2CAF382}"/>
  <w:footnotePr>
    <w:footnote w:id="0"/>
    <w:footnote w:id="1"/>
  </w:footnotePr>
  <w:endnotePr>
    <w:endnote w:id="0"/>
    <w:endnote w:id="1"/>
  </w:endnotePr>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EastAsia" w:hAnsiTheme="minorHAnsi"/>
        <w:sz w:val="22"/>
        <w:szCs w:val="22"/>
        <w:lang w:val="tr-TR" w:bidi="ar-SA" w:eastAsia="tr-TR"/>
      </w:rPr>
    </w:rPrDefault>
    <w:pPrDefault>
      <w:pPr>
        <w:spacing w:beforeAutospacing="0" w:after="200" w:afterAutospacing="0" w:line="276" w:lineRule="auto"/>
      </w:pPr>
    </w:pPrDefault>
  </w:docDefaults>
  <w:style w:type="character" w:customStyle="1" w:styleId="Heading1Char">
    <w:name w:val="Heading 1 Char"/>
    <w:uiPriority w:val="9"/>
    <w:rPr>
      <w:rFonts w:asciiTheme="majorHAnsi" w:cstheme="majorBidi" w:eastAsiaTheme="majorEastAsia" w:hAnsiTheme="majorHAnsi"/>
      <w:b/>
      <w:bCs/>
      <w:color w:val="2f5395" w:themeColor="accent1" w:themeShade="bf"/>
      <w:sz w:val="28"/>
      <w:szCs w:val="28"/>
    </w:rPr>
  </w:style>
  <w:style w:type="character" w:customStyle="1" w:styleId="Heading2Char">
    <w:name w:val="Heading 2 Char"/>
    <w:uiPriority w:val="9"/>
    <w:rPr>
      <w:rFonts w:asciiTheme="majorHAnsi" w:cstheme="majorBidi" w:eastAsiaTheme="majorEastAsia" w:hAnsiTheme="majorHAnsi"/>
      <w:b/>
      <w:bCs/>
      <w:color w:val="4472c4" w:themeColor="accent1"/>
      <w:sz w:val="26"/>
      <w:szCs w:val="26"/>
    </w:rPr>
  </w:style>
  <w:style w:type="character" w:customStyle="1" w:styleId="Heading3Char">
    <w:name w:val="Heading 3 Char"/>
    <w:uiPriority w:val="9"/>
    <w:rPr>
      <w:rFonts w:asciiTheme="majorHAnsi" w:cstheme="majorBidi" w:eastAsiaTheme="majorEastAsia" w:hAnsiTheme="majorHAnsi"/>
      <w:b/>
      <w:bCs/>
      <w:color w:val="4472c4" w:themeColor="accent1"/>
    </w:rPr>
  </w:style>
  <w:style w:type="character" w:customStyle="1" w:styleId="Heading4Char">
    <w:name w:val="Heading 4 Char"/>
    <w:uiPriority w:val="9"/>
    <w:rPr>
      <w:rFonts w:asciiTheme="majorHAnsi" w:cstheme="majorBidi" w:eastAsiaTheme="majorEastAsia" w:hAnsiTheme="majorHAnsi"/>
      <w:b/>
      <w:bCs/>
      <w:i/>
      <w:iCs/>
      <w:color w:val="4472c4" w:themeColor="accent1"/>
    </w:rPr>
  </w:style>
  <w:style w:type="character" w:customStyle="1" w:styleId="Heading5Char">
    <w:name w:val="Heading 5 Char"/>
    <w:uiPriority w:val="9"/>
    <w:rPr>
      <w:rFonts w:asciiTheme="majorHAnsi" w:cstheme="majorBidi" w:eastAsiaTheme="majorEastAsia" w:hAnsiTheme="majorHAnsi"/>
      <w:color w:val="1f3763" w:themeColor="accent1" w:themeShade="7f"/>
    </w:rPr>
  </w:style>
  <w:style w:type="character" w:customStyle="1" w:styleId="Heading6Char">
    <w:name w:val="Heading 6 Char"/>
    <w:uiPriority w:val="9"/>
    <w:rPr>
      <w:rFonts w:asciiTheme="majorHAnsi" w:cstheme="majorBidi" w:eastAsiaTheme="majorEastAsia" w:hAnsiTheme="majorHAnsi"/>
      <w:i/>
      <w:iCs/>
      <w:color w:val="1f3763" w:themeColor="accent1" w:themeShade="7f"/>
    </w:rPr>
  </w:style>
  <w:style w:type="character" w:customStyle="1" w:styleId="Heading7Char">
    <w:name w:val="Heading 7 Char"/>
    <w:uiPriority w:val="9"/>
    <w:rPr>
      <w:rFonts w:asciiTheme="majorHAnsi" w:cstheme="majorBidi" w:eastAsiaTheme="majorEastAsia" w:hAnsiTheme="majorHAnsi"/>
      <w:i/>
      <w:iCs/>
      <w:color w:val="404040" w:themeColor="text1" w:themeTint="bf"/>
    </w:rPr>
  </w:style>
  <w:style w:type="character" w:customStyle="1" w:styleId="Heading8Char">
    <w:name w:val="Heading 8 Char"/>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uiPriority w:val="9"/>
    <w:rPr>
      <w:rFonts w:asciiTheme="majorHAnsi" w:cstheme="majorBidi" w:eastAsiaTheme="majorEastAsia" w:hAnsiTheme="majorHAnsi"/>
      <w:i/>
      <w:iCs/>
      <w:color w:val="404040" w:themeColor="text1" w:themeTint="bf"/>
      <w:sz w:val="20"/>
      <w:szCs w:val="20"/>
    </w:rPr>
  </w:style>
  <w:style w:type="character" w:customStyle="1" w:styleId="TitleChar">
    <w:name w:val="Title Char"/>
    <w:uiPriority w:val="10"/>
    <w:rPr>
      <w:rFonts w:asciiTheme="majorHAnsi" w:cstheme="majorBidi" w:eastAsiaTheme="majorEastAsia" w:hAnsiTheme="majorHAnsi"/>
      <w:color w:val="333f4f" w:themeColor="text2" w:themeShade="bf"/>
      <w:spacing w:val="5"/>
      <w:sz w:val="52"/>
      <w:szCs w:val="52"/>
    </w:rPr>
  </w:style>
  <w:style w:type="character" w:customStyle="1" w:styleId="SubtitleChar">
    <w:name w:val="Subtitle Char"/>
    <w:uiPriority w:val="11"/>
    <w:rPr>
      <w:rFonts w:asciiTheme="majorHAnsi" w:cstheme="majorBidi" w:eastAsiaTheme="majorEastAsia" w:hAnsiTheme="majorHAnsi"/>
      <w:i/>
      <w:iCs/>
      <w:color w:val="4472c4"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472c4" w:themeColor="accent1"/>
    </w:rPr>
  </w:style>
  <w:style w:type="character" w:customStyle="1" w:styleId="FootnoteTextChar">
    <w:name w:val="Footnote Text Char"/>
    <w:uiPriority w:val="99"/>
    <w:semiHidden w:val="on"/>
    <w:rPr>
      <w:sz w:val="20"/>
      <w:szCs w:val="20"/>
    </w:rPr>
  </w:style>
  <w:style w:type="character" w:customStyle="1" w:styleId="EndnoteTextChar">
    <w:name w:val="Endnote Text Char"/>
    <w:uiPriority w:val="99"/>
    <w:semiHidden w:val="on"/>
    <w:rPr>
      <w:sz w:val="20"/>
      <w:szCs w:val="20"/>
    </w:rPr>
  </w:style>
  <w:style w:type="character" w:customStyle="1" w:styleId="PlainTextChar">
    <w:name w:val="Plain Text Char"/>
    <w:uiPriority w:val="99"/>
    <w:rPr>
      <w:rFonts w:ascii="Courier New" w:cs="Courier New" w:hAnsi="Courier New"/>
      <w:sz w:val="21"/>
      <w:szCs w:val="21"/>
    </w:rPr>
  </w:style>
  <w:style w:type="character" w:customStyle="1" w:styleId="HeaderChar">
    <w:name w:val="Header Char"/>
    <w:uiPriority w:val="99"/>
  </w:style>
  <w:style w:type="character" w:customStyle="1" w:styleId="FooterChar">
    <w:name w:val="Footer Char"/>
    <w:uiPriority w:val="99"/>
  </w:style>
  <w:style w:type="paragraph" w:default="1" w:styleId="Normal">
    <w:name w:val="Normal"/>
    <w:uiPriority w:val="99"/>
    <w:qFormat w:val="on"/>
  </w:style>
  <w:style w:type="paragraph" w:styleId="Heading1">
    <w:name w:val="Heading 1"/>
    <w:basedOn w:val="Normal"/>
    <w:next w:val="Normal"/>
    <w:link w:val="Başlık1Char"/>
    <w:uiPriority w:val="9"/>
    <w:qFormat w:val="on"/>
    <w:pPr>
      <w:keepNext w:val="on"/>
      <w:keepLines w:val="on"/>
      <w:spacing w:before="480" w:beforeAutospacing="0" w:after="0" w:afterAutospacing="0"/>
    </w:pPr>
    <w:rPr>
      <w:rFonts w:asciiTheme="majorHAnsi" w:cstheme="majorBidi" w:eastAsiaTheme="majorEastAsia" w:hAnsiTheme="majorHAnsi"/>
      <w:b/>
      <w:bCs/>
      <w:color w:val="2f5395" w:themeColor="accent1" w:themeShade="bf"/>
      <w:sz w:val="28"/>
      <w:szCs w:val="28"/>
    </w:rPr>
  </w:style>
  <w:style w:type="paragraph" w:styleId="Heading2">
    <w:name w:val="Heading 2"/>
    <w:basedOn w:val="Normal"/>
    <w:next w:val="Normal"/>
    <w:link w:val="Başlık2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b/>
      <w:bCs/>
      <w:color w:val="4472c4" w:themeColor="accent1"/>
      <w:sz w:val="26"/>
      <w:szCs w:val="26"/>
    </w:rPr>
  </w:style>
  <w:style w:type="paragraph" w:styleId="Heading3">
    <w:name w:val="Heading 3"/>
    <w:basedOn w:val="Normal"/>
    <w:next w:val="Normal"/>
    <w:link w:val="Başlık3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b/>
      <w:bCs/>
      <w:color w:val="4472c4" w:themeColor="accent1"/>
    </w:rPr>
  </w:style>
  <w:style w:type="paragraph" w:styleId="Heading4">
    <w:name w:val="Heading 4"/>
    <w:basedOn w:val="Normal"/>
    <w:next w:val="Normal"/>
    <w:link w:val="Başlık4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b/>
      <w:bCs/>
      <w:i/>
      <w:iCs/>
      <w:color w:val="4472c4" w:themeColor="accent1"/>
    </w:rPr>
  </w:style>
  <w:style w:type="paragraph" w:styleId="Heading5">
    <w:name w:val="Heading 5"/>
    <w:basedOn w:val="Normal"/>
    <w:next w:val="Normal"/>
    <w:link w:val="Başlık5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color w:val="1f3763" w:themeColor="accent1" w:themeShade="7f"/>
    </w:rPr>
  </w:style>
  <w:style w:type="paragraph" w:styleId="Heading6">
    <w:name w:val="Heading 6"/>
    <w:basedOn w:val="Normal"/>
    <w:next w:val="Normal"/>
    <w:link w:val="Başlık6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i/>
      <w:iCs/>
      <w:color w:val="1f3763" w:themeColor="accent1" w:themeShade="7f"/>
    </w:rPr>
  </w:style>
  <w:style w:type="paragraph" w:styleId="Heading7">
    <w:name w:val="Heading 7"/>
    <w:basedOn w:val="Normal"/>
    <w:next w:val="Normal"/>
    <w:link w:val="Başlık7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Başlık8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Başlık9Char"/>
    <w:uiPriority w:val="9"/>
    <w:semiHidden w:val="on"/>
    <w:unhideWhenUsed w:val="on"/>
    <w:qFormat w:val="on"/>
    <w:pPr>
      <w:keepNext w:val="on"/>
      <w:keepLines w:val="on"/>
      <w:spacing w:before="200" w:beforeAutospacing="0" w:after="0" w:afterAutospacing="0"/>
    </w:pPr>
    <w:rPr>
      <w:rFonts w:asciiTheme="majorHAnsi" w:cstheme="majorBidi" w:eastAsiaTheme="majorEastAsia" w:hAnsiTheme="majorHAnsi"/>
      <w:i/>
      <w:iCs/>
      <w:color w:val="404040" w:themeColor="text1" w:themeTint="bf"/>
      <w:sz w:val="20"/>
      <w:szCs w:val="20"/>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Spacing">
    <w:name w:val="No Spacing"/>
    <w:uiPriority w:val="1"/>
    <w:qFormat w:val="on"/>
    <w:pPr>
      <w:spacing w:beforeAutospacing="0" w:after="0" w:afterAutospacing="0" w:line="240" w:lineRule="auto"/>
    </w:pPr>
  </w:style>
  <w:style w:type="character" w:customStyle="1" w:styleId="Başlık1Char">
    <w:name w:val="Başlık 1 Char"/>
    <w:basedOn w:val="DefaultParagraphFont"/>
    <w:link w:val="Heading1"/>
    <w:uiPriority w:val="9"/>
    <w:rPr>
      <w:rFonts w:asciiTheme="majorHAnsi" w:cstheme="majorBidi" w:eastAsiaTheme="majorEastAsia" w:hAnsiTheme="majorHAnsi"/>
      <w:b/>
      <w:bCs/>
      <w:color w:val="2f5395" w:themeColor="accent1" w:themeShade="bf"/>
      <w:sz w:val="28"/>
      <w:szCs w:val="28"/>
    </w:rPr>
  </w:style>
  <w:style w:type="character" w:customStyle="1" w:styleId="Başlık2Char">
    <w:name w:val="Başlık 2 Char"/>
    <w:basedOn w:val="DefaultParagraphFont"/>
    <w:link w:val="Heading2"/>
    <w:uiPriority w:val="9"/>
    <w:rPr>
      <w:rFonts w:asciiTheme="majorHAnsi" w:cstheme="majorBidi" w:eastAsiaTheme="majorEastAsia" w:hAnsiTheme="majorHAnsi"/>
      <w:b/>
      <w:bCs/>
      <w:color w:val="4472c4" w:themeColor="accent1"/>
      <w:sz w:val="26"/>
      <w:szCs w:val="26"/>
    </w:rPr>
  </w:style>
  <w:style w:type="character" w:customStyle="1" w:styleId="Başlık3Char">
    <w:name w:val="Başlık 3 Char"/>
    <w:basedOn w:val="DefaultParagraphFont"/>
    <w:link w:val="Heading3"/>
    <w:uiPriority w:val="9"/>
    <w:rPr>
      <w:rFonts w:asciiTheme="majorHAnsi" w:cstheme="majorBidi" w:eastAsiaTheme="majorEastAsia" w:hAnsiTheme="majorHAnsi"/>
      <w:b/>
      <w:bCs/>
      <w:color w:val="4472c4" w:themeColor="accent1"/>
    </w:rPr>
  </w:style>
  <w:style w:type="character" w:customStyle="1" w:styleId="Başlık4Char">
    <w:name w:val="Başlık 4 Char"/>
    <w:basedOn w:val="DefaultParagraphFont"/>
    <w:link w:val="Heading4"/>
    <w:uiPriority w:val="9"/>
    <w:rPr>
      <w:rFonts w:asciiTheme="majorHAnsi" w:cstheme="majorBidi" w:eastAsiaTheme="majorEastAsia" w:hAnsiTheme="majorHAnsi"/>
      <w:b/>
      <w:bCs/>
      <w:i/>
      <w:iCs/>
      <w:color w:val="4472c4" w:themeColor="accent1"/>
    </w:rPr>
  </w:style>
  <w:style w:type="character" w:customStyle="1" w:styleId="Başlık5Char">
    <w:name w:val="Başlık 5 Char"/>
    <w:basedOn w:val="DefaultParagraphFont"/>
    <w:link w:val="Heading5"/>
    <w:uiPriority w:val="9"/>
    <w:rPr>
      <w:rFonts w:asciiTheme="majorHAnsi" w:cstheme="majorBidi" w:eastAsiaTheme="majorEastAsia" w:hAnsiTheme="majorHAnsi"/>
      <w:color w:val="1f3763" w:themeColor="accent1" w:themeShade="7f"/>
    </w:rPr>
  </w:style>
  <w:style w:type="character" w:customStyle="1" w:styleId="Başlık6Char">
    <w:name w:val="Başlık 6 Char"/>
    <w:basedOn w:val="DefaultParagraphFont"/>
    <w:link w:val="Heading6"/>
    <w:uiPriority w:val="9"/>
    <w:rPr>
      <w:rFonts w:asciiTheme="majorHAnsi" w:cstheme="majorBidi" w:eastAsiaTheme="majorEastAsia" w:hAnsiTheme="majorHAnsi"/>
      <w:i/>
      <w:iCs/>
      <w:color w:val="1f3763" w:themeColor="accent1" w:themeShade="7f"/>
    </w:rPr>
  </w:style>
  <w:style w:type="character" w:customStyle="1" w:styleId="Başlık7Char">
    <w:name w:val="Başlık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Başlık8Char">
    <w:name w:val="Başlık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Başlık9Char">
    <w:name w:val="Başlık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basedOn w:val="Normal"/>
    <w:next w:val="Normal"/>
    <w:link w:val="KonuBaşlığıChar"/>
    <w:uiPriority w:val="10"/>
    <w:qFormat w:val="on"/>
    <w:pPr>
      <w:pBdr>
        <w:bottom w:val="single" w:color="4472c4" w:themeColor="accent1" w:sz="8" w:space="4"/>
      </w:pBdr>
      <w:spacing w:beforeAutospacing="0" w:after="300" w:afterAutospacing="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KonuBaşlığıChar">
    <w:name w:val="Konu Başlığı Char"/>
    <w:basedOn w:val="DefaultParagraphFont"/>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basedOn w:val="Normal"/>
    <w:next w:val="Normal"/>
    <w:link w:val="AltyazıChar"/>
    <w:uiPriority w:val="11"/>
    <w:qFormat w:val="on"/>
    <w:rPr>
      <w:rFonts w:asciiTheme="majorHAnsi" w:cstheme="majorBidi" w:eastAsiaTheme="majorEastAsia" w:hAnsiTheme="majorHAnsi"/>
      <w:i/>
      <w:iCs/>
      <w:color w:val="4472c4" w:themeColor="accent1"/>
      <w:spacing w:val="15"/>
      <w:sz w:val="24"/>
      <w:szCs w:val="24"/>
    </w:rPr>
  </w:style>
  <w:style w:type="character" w:customStyle="1" w:styleId="AltyazıChar">
    <w:name w:val="Altyazı Char"/>
    <w:basedOn w:val="DefaultParagraphFont"/>
    <w:link w:val="Subtitle"/>
    <w:uiPriority w:val="11"/>
    <w:rPr>
      <w:rFonts w:asciiTheme="majorHAnsi" w:cstheme="majorBidi" w:eastAsiaTheme="majorEastAsia" w:hAnsiTheme="majorHAnsi"/>
      <w:i/>
      <w:iCs/>
      <w:color w:val="4472c4"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472c4" w:themeColor="accent1"/>
    </w:rPr>
  </w:style>
  <w:style w:type="character" w:styleId="Strong">
    <w:name w:val="Strong"/>
    <w:basedOn w:val="DefaultParagraphFont"/>
    <w:uiPriority w:val="22"/>
    <w:qFormat w:val="on"/>
    <w:rPr>
      <w:b/>
      <w:bCs/>
    </w:rPr>
  </w:style>
  <w:style w:type="paragraph" w:styleId="Quote">
    <w:name w:val="Quote"/>
    <w:basedOn w:val="Normal"/>
    <w:next w:val="Normal"/>
    <w:link w:val="AlıntıChar"/>
    <w:uiPriority w:val="29"/>
    <w:qFormat w:val="on"/>
    <w:rPr>
      <w:i/>
      <w:iCs/>
      <w:color w:val="000000" w:themeColor="text1"/>
    </w:rPr>
  </w:style>
  <w:style w:type="character" w:customStyle="1" w:styleId="AlıntıChar">
    <w:name w:val="Alıntı Char"/>
    <w:basedOn w:val="DefaultParagraphFont"/>
    <w:link w:val="Quote"/>
    <w:uiPriority w:val="29"/>
    <w:rPr>
      <w:i/>
      <w:iCs/>
      <w:color w:val="000000" w:themeColor="text1"/>
    </w:rPr>
  </w:style>
  <w:style w:type="paragraph" w:styleId="IntenseQuote">
    <w:name w:val="Intense Quote"/>
    <w:basedOn w:val="Normal"/>
    <w:next w:val="Normal"/>
    <w:link w:val="GüçlüAlıntıChar"/>
    <w:uiPriority w:val="30"/>
    <w:qFormat w:val="on"/>
    <w:pPr>
      <w:pBdr>
        <w:bottom w:val="single" w:color="4472c4" w:themeColor="accent1" w:sz="4" w:space="4"/>
      </w:pBdr>
      <w:spacing w:before="200" w:beforeAutospacing="0" w:after="280" w:afterAutospacing="0"/>
      <w:ind w:left="936" w:right="936"/>
    </w:pPr>
    <w:rPr>
      <w:b/>
      <w:bCs/>
      <w:i/>
      <w:iCs/>
      <w:color w:val="4472c4" w:themeColor="accent1"/>
    </w:rPr>
  </w:style>
  <w:style w:type="character" w:customStyle="1" w:styleId="GüçlüAlıntıChar">
    <w:name w:val="Güçlü Alıntı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ListParagraph">
    <w:name w:val="List Paragraph"/>
    <w:basedOn w:val="Normal"/>
    <w:uiPriority w:val="34"/>
    <w:qFormat w:val="on"/>
    <w:pPr>
      <w:ind w:left="720"/>
      <w:contextualSpacing w:val="on"/>
    </w:pPr>
  </w:style>
  <w:style w:type="paragraph" w:styleId="Footnotetext">
    <w:name w:val="Footnote text"/>
    <w:basedOn w:val="Normal"/>
    <w:link w:val="DipnotMetniChar"/>
    <w:uiPriority w:val="99"/>
    <w:semiHidden w:val="on"/>
    <w:unhideWhenUsed w:val="on"/>
    <w:pPr>
      <w:spacing w:beforeAutospacing="0" w:after="0" w:afterAutospacing="0" w:line="240" w:lineRule="auto"/>
    </w:pPr>
    <w:rPr>
      <w:sz w:val="20"/>
      <w:szCs w:val="20"/>
    </w:rPr>
  </w:style>
  <w:style w:type="character" w:customStyle="1" w:styleId="DipnotMetniChar">
    <w:name w:val="Dipnot Metni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rPr>
      <w:vertAlign w:val="superscript"/>
    </w:rPr>
  </w:style>
  <w:style w:type="paragraph" w:styleId="Endnotetext">
    <w:name w:val="Endnote text"/>
    <w:basedOn w:val="Normal"/>
    <w:link w:val="SonnotMetniChar"/>
    <w:uiPriority w:val="99"/>
    <w:semiHidden w:val="on"/>
    <w:unhideWhenUsed w:val="on"/>
    <w:pPr>
      <w:spacing w:beforeAutospacing="0" w:after="0" w:afterAutospacing="0" w:line="240" w:lineRule="auto"/>
    </w:pPr>
    <w:rPr>
      <w:sz w:val="20"/>
      <w:szCs w:val="20"/>
    </w:rPr>
  </w:style>
  <w:style w:type="character" w:customStyle="1" w:styleId="SonnotMetniChar">
    <w:name w:val="Sonnot Metni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character" w:styleId="Hyperlink">
    <w:name w:val="Hyperlink"/>
    <w:basedOn w:val="DefaultParagraphFont"/>
    <w:uiPriority w:val="99"/>
    <w:unhideWhenUsed w:val="on"/>
    <w:rPr>
      <w:color w:val="0563c1" w:themeColor="hyperlink"/>
      <w:u w:val="single"/>
    </w:rPr>
  </w:style>
  <w:style w:type="character" w:styleId="FollowedHyperlink">
    <w:name w:val="FollowedHyperlink"/>
    <w:basedOn w:val="DefaultParagraphFont"/>
    <w:uiPriority w:val="99"/>
    <w:semiHidden w:val="on"/>
    <w:unhideWhenUsed w:val="on"/>
    <w:rPr>
      <w:color w:val="954f72" w:themeColor="followedHyperlink"/>
      <w:u w:val="single"/>
    </w:rPr>
  </w:style>
  <w:style w:type="paragraph" w:styleId="PlainText">
    <w:name w:val="Plain Text"/>
    <w:basedOn w:val="Normal"/>
    <w:link w:val="DüzMetinChar"/>
    <w:uiPriority w:val="99"/>
    <w:semiHidden w:val="on"/>
    <w:unhideWhenUsed w:val="on"/>
    <w:pPr>
      <w:spacing w:beforeAutospacing="0" w:after="0" w:afterAutospacing="0" w:line="240" w:lineRule="auto"/>
    </w:pPr>
    <w:rPr>
      <w:rFonts w:ascii="Courier New" w:cs="Courier New" w:hAnsi="Courier New"/>
      <w:sz w:val="21"/>
      <w:szCs w:val="21"/>
    </w:rPr>
  </w:style>
  <w:style w:type="character" w:customStyle="1" w:styleId="DüzMetinChar">
    <w:name w:val="Düz Metin Char"/>
    <w:basedOn w:val="DefaultParagraphFont"/>
    <w:link w:val="PlainText"/>
    <w:uiPriority w:val="99"/>
    <w:rPr>
      <w:rFonts w:ascii="Courier New" w:cs="Courier New" w:hAnsi="Courier New"/>
      <w:sz w:val="21"/>
      <w:szCs w:val="21"/>
    </w:rPr>
  </w:style>
  <w:style w:type="paragraph" w:styleId="Header">
    <w:name w:val="Header"/>
    <w:basedOn w:val="Normal"/>
    <w:link w:val="ÜstBilgiChar"/>
    <w:uiPriority w:val="99"/>
    <w:unhideWhenUsed w:val="on"/>
    <w:pPr>
      <w:spacing w:beforeAutospacing="0" w:after="0" w:afterAutospacing="0" w:line="240" w:lineRule="auto"/>
    </w:pPr>
  </w:style>
  <w:style w:type="character" w:customStyle="1" w:styleId="ÜstBilgiChar">
    <w:name w:val="Üst Bilgi Char"/>
    <w:basedOn w:val="DefaultParagraphFont"/>
    <w:link w:val="Header"/>
    <w:uiPriority w:val="99"/>
  </w:style>
  <w:style w:type="paragraph" w:styleId="Footer">
    <w:name w:val="Footer"/>
    <w:basedOn w:val="Normal"/>
    <w:link w:val="AltBilgiChar"/>
    <w:uiPriority w:val="99"/>
    <w:unhideWhenUsed w:val="on"/>
    <w:pPr>
      <w:spacing w:beforeAutospacing="0" w:after="0" w:afterAutospacing="0" w:line="240" w:lineRule="auto"/>
    </w:pPr>
  </w:style>
  <w:style w:type="character" w:customStyle="1" w:styleId="AltBilgiChar">
    <w:name w:val="Alt Bilgi Char"/>
    <w:basedOn w:val="DefaultParagraphFont"/>
    <w:link w:val="Footer"/>
    <w:uiPriority w:val="99"/>
  </w:style>
  <w:style w:type="paragraph" w:styleId="Caption">
    <w:name w:val="Caption"/>
    <w:basedOn w:val="Normal"/>
    <w:next w:val="Normal"/>
    <w:uiPriority w:val="35"/>
    <w:unhideWhenUsed w:val="on"/>
    <w:qFormat w:val="on"/>
    <w:pPr>
      <w:spacing w:beforeAutospacing="0" w:afterAutospacing="0" w:line="240" w:lineRule="auto"/>
    </w:pPr>
    <w:rPr>
      <w:i/>
      <w:iCs/>
      <w:color w:val="44546a" w:themeColor="text2"/>
      <w:sz w:val="18"/>
      <w:szCs w:val="18"/>
    </w:rPr>
  </w:style>
  <w:style w:type="paragraph" w:styleId="ListNumber">
    <w:name w:val="List Number"/>
    <w:basedOn w:val="Normal"/>
    <w:uiPriority w:val="99"/>
    <w:pPr>
      <w:numPr>
        <w:ilvl w:val="0"/>
        <w:numId w:val="4"/>
      </w:numPr>
      <w:spacing w:beforeAutospacing="0" w:after="240" w:afterAutospacing="0"/>
    </w:pPr>
    <w:rPr>
      <w:szCs w:val="20"/>
      <w:lang w:val="en-GB"/>
    </w:rPr>
  </w:style>
  <w:style w:type="paragraph" w:customStyle="1" w:styleId="ListNumber(Level2)">
    <w:name w:val="List Number (Level 2)"/>
    <w:basedOn w:val="Normal"/>
    <w:uiPriority w:val="99"/>
    <w:pPr>
      <w:numPr>
        <w:ilvl w:val="1"/>
        <w:numId w:val="3"/>
      </w:numPr>
      <w:spacing w:beforeAutospacing="0" w:after="240" w:afterAutospacing="0"/>
    </w:pPr>
    <w:rPr>
      <w:szCs w:val="20"/>
      <w:lang w:val="en-GB"/>
    </w:rPr>
  </w:style>
  <w:style w:type="paragraph" w:customStyle="1" w:styleId="ListNumber(Level3)">
    <w:name w:val="List Number (Level 3)"/>
    <w:basedOn w:val="Normal"/>
    <w:uiPriority w:val="99"/>
    <w:pPr>
      <w:numPr>
        <w:ilvl w:val="2"/>
        <w:numId w:val="2"/>
      </w:numPr>
      <w:spacing w:beforeAutospacing="0" w:after="240" w:afterAutospacing="0"/>
    </w:pPr>
    <w:rPr>
      <w:szCs w:val="20"/>
      <w:lang w:val="en-GB"/>
    </w:rPr>
  </w:style>
  <w:style w:type="paragraph" w:customStyle="1" w:styleId="ListNumber(Level4)">
    <w:name w:val="List Number (Level 4)"/>
    <w:basedOn w:val="Normal"/>
    <w:uiPriority w:val="99"/>
    <w:pPr>
      <w:numPr>
        <w:ilvl w:val="3"/>
        <w:numId w:val="1"/>
      </w:numPr>
      <w:spacing w:beforeAutospacing="0" w:after="240" w:afterAutospacing="0"/>
    </w:pPr>
    <w:rPr>
      <w:szCs w:val="20"/>
      <w:lang w:val="en-GB"/>
    </w:rPr>
  </w:style>
  <w:style w:type="paragraph" w:customStyle="1" w:styleId="Text1">
    <w:name w:val="Text 1"/>
    <w:basedOn w:val="Normal"/>
    <w:uiPriority w:val="99"/>
    <w:pPr>
      <w:spacing w:beforeAutospacing="0" w:after="240" w:afterAutospacing="0"/>
      <w:ind w:left="482"/>
    </w:pPr>
    <w:rPr>
      <w:szCs w:val="20"/>
      <w:lang w:val="en-GB" w:eastAsia="en-GB"/>
    </w:rPr>
  </w:style>
  <w:style w:type="paragraph" w:styleId="BodyText">
    <w:name w:val="Body Text"/>
    <w:basedOn w:val="Normal"/>
    <w:link w:val="GövdeMetniChar"/>
    <w:uiPriority w:val="99"/>
    <w:rPr>
      <w:szCs w:val="20"/>
      <w:lang w:val="sv-SE" w:eastAsia="en-GB"/>
    </w:rPr>
  </w:style>
  <w:style w:type="character" w:customStyle="1" w:styleId="GövdeMetniChar">
    <w:name w:val="Gövde Metni Char"/>
    <w:basedOn w:val="DefaultParagraphFont"/>
    <w:link w:val="BodyText"/>
    <w:uiPriority w:val="99"/>
    <w:rPr>
      <w:rFonts w:ascii="Times New Roman" w:hAnsi="Times New Roman"/>
      <w:sz w:val="24"/>
      <w:szCs w:val="20"/>
      <w:lang w:val="sv-SE" w:bidi="en-US" w:eastAsia="en-GB"/>
    </w:rPr>
  </w:style>
  <w:style w:type="character" w:styleId="Annotationreference">
    <w:name w:val="Annotation reference"/>
    <w:basedOn w:val="DefaultParagraphFont"/>
    <w:uiPriority w:val="99"/>
    <w:semiHidden w:val="on"/>
    <w:unhideWhenUsed w:val="on"/>
    <w:rPr>
      <w:sz w:val="16"/>
      <w:szCs w:val="16"/>
    </w:rPr>
  </w:style>
  <w:style w:type="paragraph" w:styleId="Annotationtext">
    <w:name w:val="Annotation text"/>
    <w:basedOn w:val="Normal"/>
    <w:link w:val="AçıklamaMetniChar"/>
    <w:uiPriority w:val="99"/>
    <w:semiHidden w:val="on"/>
    <w:unhideWhenUsed w:val="on"/>
    <w:pPr>
      <w:spacing w:beforeAutospacing="0" w:afterAutospacing="0" w:line="240" w:lineRule="auto"/>
    </w:pPr>
    <w:rPr>
      <w:sz w:val="20"/>
      <w:szCs w:val="20"/>
    </w:rPr>
  </w:style>
  <w:style w:type="character" w:customStyle="1" w:styleId="AçıklamaMetniChar">
    <w:name w:val="Açıklama Metni Char"/>
    <w:basedOn w:val="DefaultParagraphFont"/>
    <w:link w:val="Annotationtext"/>
    <w:uiPriority w:val="99"/>
    <w:semiHidden w:val="on"/>
    <w:rPr>
      <w:sz w:val="20"/>
      <w:szCs w:val="20"/>
    </w:rPr>
  </w:style>
  <w:style w:type="paragraph" w:styleId="Annotationsubject">
    <w:name w:val="Annotation subject"/>
    <w:basedOn w:val="Annotationtext"/>
    <w:next w:val="Annotationtext"/>
    <w:link w:val="AçıklamaKonusuChar"/>
    <w:uiPriority w:val="99"/>
    <w:semiHidden w:val="on"/>
    <w:unhideWhenUsed w:val="on"/>
    <w:rPr>
      <w:b/>
      <w:bCs/>
    </w:rPr>
  </w:style>
  <w:style w:type="character" w:customStyle="1" w:styleId="AçıklamaKonusuChar">
    <w:name w:val="Açıklama Konusu Char"/>
    <w:basedOn w:val="AçıklamaMetniChar"/>
    <w:link w:val="Annotationsubject"/>
    <w:uiPriority w:val="99"/>
    <w:semiHidden w:val="on"/>
    <w:rPr>
      <w:b/>
      <w:bCs/>
      <w:sz w:val="20"/>
      <w:szCs w:val="20"/>
    </w:rPr>
  </w:style>
  <w:style w:type="paragraph" w:styleId="BalloonText">
    <w:name w:val="Balloon Text"/>
    <w:basedOn w:val="Normal"/>
    <w:link w:val="BalonMetniChar"/>
    <w:uiPriority w:val="99"/>
    <w:semiHidden w:val="on"/>
    <w:unhideWhenUsed w:val="on"/>
    <w:pPr>
      <w:spacing w:beforeAutospacing="0" w:after="0" w:afterAutospacing="0" w:line="240" w:lineRule="auto"/>
    </w:pPr>
    <w:rPr>
      <w:rFonts w:ascii="Segoe UI" w:cs="Segoe UI" w:hAnsi="Segoe UI"/>
      <w:sz w:val="18"/>
      <w:szCs w:val="18"/>
    </w:rPr>
  </w:style>
  <w:style w:type="character" w:customStyle="1" w:styleId="BalonMetniChar">
    <w:name w:val="Balon Metni Char"/>
    <w:basedOn w:val="DefaultParagraphFont"/>
    <w:link w:val="BalloonText"/>
    <w:uiPriority w:val="99"/>
    <w:semiHidden w:val="on"/>
    <w:rPr>
      <w:rFonts w:ascii="Segoe UI" w:cs="Segoe UI" w:hAnsi="Segoe UI"/>
      <w:sz w:val="18"/>
      <w:szCs w:val="18"/>
    </w:rPr>
  </w:style>
  <w:style w:type="paragraph" w:styleId="BodyText2">
    <w:name w:val="Body Text 2"/>
    <w:basedOn w:val="Normal"/>
    <w:link w:val="GövdeMetni2Char"/>
    <w:uiPriority w:val="99"/>
    <w:semiHidden w:val="on"/>
    <w:unhideWhenUsed w:val="on"/>
    <w:pPr>
      <w:spacing w:beforeAutospacing="0" w:after="120" w:afterAutospacing="0" w:line="480" w:lineRule="auto"/>
    </w:pPr>
  </w:style>
  <w:style w:type="character" w:customStyle="1" w:styleId="GövdeMetni2Char">
    <w:name w:val="Gövde Metni 2 Char"/>
    <w:basedOn w:val="DefaultParagraphFont"/>
    <w:link w:val="BodyText2"/>
    <w:uiPriority w:val="99"/>
    <w:semiHidden w:val="on"/>
  </w:style>
  <w:style w:type="paragraph" w:styleId="BodyTextIndent3">
    <w:name w:val="Body Text Indent 3"/>
    <w:basedOn w:val="Normal"/>
    <w:link w:val="GövdeMetniGirintisi3Char"/>
    <w:uiPriority w:val="99"/>
    <w:pPr>
      <w:spacing w:before="120" w:beforeAutospacing="0" w:after="120" w:afterAutospacing="0" w:line="240" w:lineRule="auto"/>
      <w:ind w:left="283" w:firstLine="720"/>
      <w:jc w:val="both"/>
    </w:pPr>
    <w:rPr>
      <w:rFonts w:ascii="Times New Roman" w:eastAsiaTheme="minorHAnsi" w:hAnsi="Times New Roman"/>
      <w:sz w:val="16"/>
      <w:szCs w:val="16"/>
      <w:lang w:val="en-US" w:bidi="en-US" w:eastAsia="en-US"/>
    </w:rPr>
  </w:style>
  <w:style w:type="character" w:customStyle="1" w:styleId="GövdeMetniGirintisi3Char">
    <w:name w:val="Gövde Metni Girintisi 3 Char"/>
    <w:basedOn w:val="DefaultParagraphFont"/>
    <w:link w:val="BodyTextIndent3"/>
    <w:uiPriority w:val="99"/>
    <w:rPr>
      <w:rFonts w:ascii="Times New Roman" w:eastAsiaTheme="minorHAnsi" w:hAnsi="Times New Roman"/>
      <w:sz w:val="16"/>
      <w:szCs w:val="16"/>
      <w:lang w:val="en-US" w:bidi="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11" Type="http://schemas.openxmlformats.org/officeDocument/2006/relationships/theme" Target="theme/theme1.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otnotes" Target="footnotes.xml"/><Relationship Id="rId6" Type="http://schemas.openxmlformats.org/officeDocument/2006/relationships/endnotes" Target="endnotes.xml"/><Relationship Id="rId9" Type="http://schemas.openxmlformats.org/officeDocument/2006/relationships/fontTable" Target="fontTable.xml"/><Relationship Id="rId4" Type="http://schemas.openxmlformats.org/officeDocument/2006/relationships/webSettings" Target="webSettings.xml"/><Relationship Id="rId8" Type="http://schemas.microsoft.com/office/2011/relationships/commentsExtended" Target="commentsExtended.xml"/><Relationship Id="rId10" Type="http://schemas.microsoft.com/office/2011/relationships/people" Target="people.xml"/></Relationships>
</file>

<file path=word/_rels/endnotes.xml.rels><?xml version="1.0" encoding="UTF-8" standalone="yes"?>
<Relationships xmlns="http://schemas.openxmlformats.org/package/2006/relationships"></Relationships>
</file>

<file path=word/_rels/footnotes.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Varsayıla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10876</Words>
  <Characters>61998</Characters>
  <Application>Microsoft Office Word</Application>
  <DocSecurity>0</DocSecurity>
  <Lines>516</Lines>
  <Paragraphs>145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Mucella Saler</dc:creator>
  <cp:lastModifiedBy>Mucella Saler</cp:lastModifiedBy>
</cp:coreProperties>
</file>